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r>
        <w:rPr>
          <w:rFonts w:hint="eastAsia"/>
          <w:sz w:val="28"/>
          <w:szCs w:val="28"/>
        </w:rPr>
        <w:t>评分方法</w:t>
      </w:r>
    </w:p>
    <w:tbl>
      <w:tblPr>
        <w:tblStyle w:val="2"/>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694"/>
        <w:gridCol w:w="1693"/>
        <w:gridCol w:w="709"/>
        <w:gridCol w:w="708"/>
        <w:gridCol w:w="4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6" w:firstLineChars="94"/>
              <w:jc w:val="center"/>
              <w:rPr>
                <w:rFonts w:ascii="仿宋_GB2312" w:hAnsi="宋体" w:eastAsia="仿宋_GB2312"/>
                <w:b/>
                <w:bCs/>
                <w:sz w:val="24"/>
                <w:szCs w:val="24"/>
              </w:rPr>
            </w:pPr>
            <w:r>
              <w:rPr>
                <w:rFonts w:hint="eastAsia" w:ascii="仿宋_GB2312" w:hAnsi="宋体" w:eastAsia="仿宋_GB2312"/>
                <w:b/>
                <w:bCs/>
                <w:sz w:val="24"/>
                <w:szCs w:val="24"/>
              </w:rPr>
              <w:t>序   号</w:t>
            </w:r>
          </w:p>
        </w:tc>
        <w:tc>
          <w:tcPr>
            <w:tcW w:w="3804" w:type="dxa"/>
            <w:gridSpan w:val="4"/>
            <w:tcBorders>
              <w:top w:val="single" w:color="auto" w:sz="4" w:space="0"/>
              <w:left w:val="nil"/>
              <w:bottom w:val="single" w:color="auto" w:sz="4" w:space="0"/>
              <w:right w:val="single" w:color="auto" w:sz="4" w:space="0"/>
            </w:tcBorders>
            <w:vAlign w:val="center"/>
          </w:tcPr>
          <w:p>
            <w:pPr>
              <w:spacing w:line="360" w:lineRule="auto"/>
              <w:ind w:firstLine="226" w:firstLineChars="94"/>
              <w:jc w:val="center"/>
              <w:rPr>
                <w:rFonts w:ascii="仿宋_GB2312" w:hAnsi="宋体" w:eastAsia="仿宋_GB2312"/>
                <w:b/>
                <w:bCs/>
                <w:sz w:val="24"/>
                <w:szCs w:val="24"/>
              </w:rPr>
            </w:pPr>
            <w:r>
              <w:rPr>
                <w:rFonts w:hint="eastAsia" w:ascii="仿宋_GB2312" w:hAnsi="宋体" w:eastAsia="仿宋_GB2312"/>
                <w:b/>
                <w:bCs/>
                <w:sz w:val="24"/>
                <w:szCs w:val="24"/>
              </w:rPr>
              <w:t>评分项</w:t>
            </w:r>
          </w:p>
        </w:tc>
        <w:tc>
          <w:tcPr>
            <w:tcW w:w="4794" w:type="dxa"/>
            <w:tcBorders>
              <w:top w:val="single" w:color="auto" w:sz="4" w:space="0"/>
              <w:left w:val="nil"/>
              <w:bottom w:val="single" w:color="auto" w:sz="4" w:space="0"/>
              <w:right w:val="single" w:color="auto" w:sz="4" w:space="0"/>
            </w:tcBorders>
            <w:vAlign w:val="center"/>
          </w:tcPr>
          <w:p>
            <w:pPr>
              <w:spacing w:line="360" w:lineRule="auto"/>
              <w:ind w:firstLine="226" w:firstLineChars="94"/>
              <w:jc w:val="center"/>
              <w:rPr>
                <w:rFonts w:ascii="仿宋_GB2312" w:hAnsi="宋体" w:eastAsia="仿宋_GB2312"/>
                <w:b/>
                <w:bCs/>
                <w:sz w:val="24"/>
                <w:szCs w:val="24"/>
              </w:rPr>
            </w:pPr>
            <w:r>
              <w:rPr>
                <w:rFonts w:hint="eastAsia" w:ascii="仿宋_GB2312" w:hAnsi="宋体" w:eastAsia="仿宋_GB2312"/>
                <w:b/>
                <w:bCs/>
                <w:sz w:val="24"/>
                <w:szCs w:val="24"/>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837"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6" w:firstLineChars="94"/>
              <w:jc w:val="center"/>
              <w:rPr>
                <w:rFonts w:ascii="仿宋_GB2312" w:hAnsi="宋体" w:eastAsia="仿宋_GB2312"/>
                <w:b/>
                <w:bCs/>
                <w:sz w:val="24"/>
                <w:szCs w:val="24"/>
              </w:rPr>
            </w:pPr>
            <w:r>
              <w:rPr>
                <w:rFonts w:hint="eastAsia" w:ascii="仿宋_GB2312" w:hAnsi="宋体" w:eastAsia="仿宋_GB2312"/>
                <w:b/>
                <w:bCs/>
                <w:sz w:val="24"/>
                <w:szCs w:val="24"/>
              </w:rPr>
              <w:t>1</w:t>
            </w:r>
          </w:p>
        </w:tc>
        <w:tc>
          <w:tcPr>
            <w:tcW w:w="3804" w:type="dxa"/>
            <w:gridSpan w:val="4"/>
            <w:tcBorders>
              <w:top w:val="single" w:color="auto" w:sz="4" w:space="0"/>
              <w:left w:val="nil"/>
              <w:bottom w:val="single" w:color="auto" w:sz="4" w:space="0"/>
              <w:right w:val="single" w:color="auto" w:sz="4" w:space="0"/>
            </w:tcBorders>
            <w:vAlign w:val="center"/>
          </w:tcPr>
          <w:p>
            <w:pPr>
              <w:spacing w:line="360" w:lineRule="auto"/>
              <w:ind w:firstLine="226" w:firstLineChars="94"/>
              <w:jc w:val="center"/>
              <w:rPr>
                <w:rFonts w:ascii="仿宋_GB2312" w:hAnsi="宋体" w:eastAsia="仿宋_GB2312"/>
                <w:b/>
                <w:bCs/>
                <w:sz w:val="24"/>
                <w:szCs w:val="24"/>
              </w:rPr>
            </w:pPr>
            <w:r>
              <w:rPr>
                <w:rFonts w:hint="eastAsia" w:ascii="仿宋_GB2312" w:hAnsi="宋体" w:eastAsia="仿宋_GB2312"/>
                <w:b/>
                <w:bCs/>
                <w:sz w:val="24"/>
                <w:szCs w:val="24"/>
              </w:rPr>
              <w:t>价格部分</w:t>
            </w:r>
          </w:p>
        </w:tc>
        <w:tc>
          <w:tcPr>
            <w:tcW w:w="4794" w:type="dxa"/>
            <w:tcBorders>
              <w:top w:val="single" w:color="auto" w:sz="4" w:space="0"/>
              <w:left w:val="nil"/>
              <w:bottom w:val="single" w:color="auto" w:sz="4" w:space="0"/>
              <w:right w:val="single" w:color="auto" w:sz="4" w:space="0"/>
            </w:tcBorders>
            <w:vAlign w:val="center"/>
          </w:tcPr>
          <w:p>
            <w:pPr>
              <w:spacing w:line="360" w:lineRule="auto"/>
              <w:ind w:firstLine="226" w:firstLineChars="94"/>
              <w:jc w:val="center"/>
              <w:rPr>
                <w:rFonts w:ascii="仿宋_GB2312" w:hAnsi="宋体" w:eastAsia="仿宋_GB2312"/>
                <w:b/>
                <w:bCs/>
                <w:sz w:val="24"/>
                <w:szCs w:val="24"/>
              </w:rPr>
            </w:pPr>
            <w:r>
              <w:rPr>
                <w:rFonts w:hint="eastAsia" w:ascii="仿宋_GB2312" w:hAnsi="宋体" w:eastAsia="仿宋_GB2312"/>
                <w:b/>
                <w:bCs/>
                <w:sz w:val="24"/>
                <w:szCs w:val="24"/>
              </w:rPr>
              <w:t>20(最低价/投标报价×</w:t>
            </w:r>
            <w:r>
              <w:rPr>
                <w:rFonts w:hint="eastAsia" w:ascii="仿宋_GB2312" w:hAnsi="宋体" w:eastAsia="仿宋_GB2312"/>
                <w:b/>
                <w:bCs/>
                <w:sz w:val="24"/>
                <w:szCs w:val="24"/>
                <w:lang w:val="en-US" w:eastAsia="zh-CN"/>
              </w:rPr>
              <w:t>20</w:t>
            </w:r>
            <w:r>
              <w:rPr>
                <w:rFonts w:hint="eastAsia" w:ascii="仿宋_GB2312" w:hAnsi="宋体" w:eastAsia="仿宋_GB2312"/>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6" w:firstLineChars="94"/>
              <w:jc w:val="center"/>
              <w:rPr>
                <w:rFonts w:ascii="仿宋_GB2312" w:hAnsi="宋体" w:eastAsia="仿宋_GB2312"/>
                <w:b/>
                <w:bCs/>
                <w:sz w:val="24"/>
                <w:szCs w:val="24"/>
              </w:rPr>
            </w:pPr>
            <w:r>
              <w:rPr>
                <w:rFonts w:hint="eastAsia" w:ascii="仿宋_GB2312" w:hAnsi="宋体" w:eastAsia="仿宋_GB2312"/>
                <w:b/>
                <w:bCs/>
                <w:sz w:val="24"/>
                <w:szCs w:val="24"/>
              </w:rPr>
              <w:t>2</w:t>
            </w:r>
          </w:p>
        </w:tc>
        <w:tc>
          <w:tcPr>
            <w:tcW w:w="3804" w:type="dxa"/>
            <w:gridSpan w:val="4"/>
            <w:tcBorders>
              <w:top w:val="single" w:color="auto" w:sz="4" w:space="0"/>
              <w:left w:val="nil"/>
              <w:bottom w:val="single" w:color="auto" w:sz="4" w:space="0"/>
              <w:right w:val="single" w:color="auto" w:sz="4" w:space="0"/>
            </w:tcBorders>
            <w:vAlign w:val="center"/>
          </w:tcPr>
          <w:p>
            <w:pPr>
              <w:spacing w:line="360" w:lineRule="auto"/>
              <w:ind w:firstLine="226" w:firstLineChars="94"/>
              <w:jc w:val="center"/>
              <w:rPr>
                <w:rFonts w:ascii="仿宋_GB2312" w:hAnsi="宋体" w:eastAsia="仿宋_GB2312"/>
                <w:b/>
                <w:bCs/>
                <w:sz w:val="24"/>
                <w:szCs w:val="24"/>
              </w:rPr>
            </w:pPr>
            <w:r>
              <w:rPr>
                <w:rFonts w:hint="eastAsia" w:ascii="仿宋_GB2312" w:hAnsi="宋体" w:eastAsia="仿宋_GB2312"/>
                <w:b/>
                <w:bCs/>
                <w:sz w:val="24"/>
                <w:szCs w:val="24"/>
              </w:rPr>
              <w:t>技术部分</w:t>
            </w:r>
          </w:p>
        </w:tc>
        <w:tc>
          <w:tcPr>
            <w:tcW w:w="4794" w:type="dxa"/>
            <w:tcBorders>
              <w:top w:val="single" w:color="auto" w:sz="4" w:space="0"/>
              <w:left w:val="nil"/>
              <w:bottom w:val="single" w:color="auto" w:sz="4" w:space="0"/>
              <w:right w:val="single" w:color="auto" w:sz="4" w:space="0"/>
            </w:tcBorders>
            <w:vAlign w:val="center"/>
          </w:tcPr>
          <w:p>
            <w:pPr>
              <w:spacing w:line="360" w:lineRule="auto"/>
              <w:ind w:firstLine="226" w:firstLineChars="94"/>
              <w:jc w:val="center"/>
              <w:rPr>
                <w:rFonts w:ascii="仿宋_GB2312" w:hAnsi="宋体" w:eastAsia="仿宋_GB2312"/>
                <w:b/>
                <w:bCs/>
                <w:sz w:val="24"/>
                <w:szCs w:val="24"/>
              </w:rPr>
            </w:pPr>
            <w:r>
              <w:rPr>
                <w:rFonts w:hint="eastAsia" w:ascii="仿宋_GB2312" w:hAnsi="宋体" w:eastAsia="仿宋_GB2312"/>
                <w:b/>
                <w:bCs/>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837" w:type="dxa"/>
            <w:vMerge w:val="restart"/>
            <w:tcBorders>
              <w:top w:val="nil"/>
              <w:left w:val="single" w:color="auto" w:sz="4" w:space="0"/>
              <w:right w:val="single" w:color="auto" w:sz="4" w:space="0"/>
            </w:tcBorders>
            <w:vAlign w:val="center"/>
          </w:tcPr>
          <w:p>
            <w:pPr>
              <w:spacing w:line="360" w:lineRule="auto"/>
              <w:ind w:firstLine="480" w:firstLineChars="200"/>
              <w:jc w:val="center"/>
              <w:rPr>
                <w:rFonts w:ascii="仿宋_GB2312" w:hAnsi="宋体" w:eastAsia="仿宋_GB2312"/>
                <w:sz w:val="24"/>
                <w:szCs w:val="24"/>
              </w:rPr>
            </w:pPr>
          </w:p>
        </w:tc>
        <w:tc>
          <w:tcPr>
            <w:tcW w:w="69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序号</w:t>
            </w:r>
          </w:p>
        </w:tc>
        <w:tc>
          <w:tcPr>
            <w:tcW w:w="169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评分因素</w:t>
            </w:r>
          </w:p>
        </w:tc>
        <w:tc>
          <w:tcPr>
            <w:tcW w:w="70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权重</w:t>
            </w: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评分方式</w:t>
            </w:r>
          </w:p>
        </w:tc>
        <w:tc>
          <w:tcPr>
            <w:tcW w:w="479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837"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69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1</w:t>
            </w:r>
          </w:p>
        </w:tc>
        <w:tc>
          <w:tcPr>
            <w:tcW w:w="169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实施方案（工作措施、工作方法、工作手段、工作流程、时间安排）</w:t>
            </w:r>
          </w:p>
        </w:tc>
        <w:tc>
          <w:tcPr>
            <w:tcW w:w="70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15</w:t>
            </w: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评委打分</w:t>
            </w:r>
          </w:p>
        </w:tc>
        <w:tc>
          <w:tcPr>
            <w:tcW w:w="4794" w:type="dxa"/>
            <w:tcBorders>
              <w:top w:val="single" w:color="auto" w:sz="4" w:space="0"/>
              <w:left w:val="nil"/>
              <w:bottom w:val="single" w:color="auto" w:sz="4" w:space="0"/>
              <w:right w:val="single" w:color="auto" w:sz="4" w:space="0"/>
            </w:tcBorders>
            <w:vAlign w:val="center"/>
          </w:tcPr>
          <w:p>
            <w:pPr>
              <w:spacing w:line="360" w:lineRule="auto"/>
              <w:ind w:firstLine="240" w:firstLineChars="100"/>
              <w:rPr>
                <w:rFonts w:ascii="仿宋_GB2312" w:hAnsi="宋体" w:eastAsia="仿宋_GB2312"/>
                <w:sz w:val="24"/>
                <w:szCs w:val="24"/>
              </w:rPr>
            </w:pPr>
            <w:r>
              <w:rPr>
                <w:rFonts w:hint="eastAsia" w:ascii="仿宋_GB2312" w:hAnsi="宋体" w:eastAsia="仿宋_GB2312"/>
                <w:sz w:val="24"/>
                <w:szCs w:val="24"/>
              </w:rPr>
              <w:t>对工作安排与项目要求的匹配程度、工作方法的适用度、工作流程的有序性进行横向比较。</w:t>
            </w:r>
          </w:p>
          <w:p>
            <w:pPr>
              <w:spacing w:line="360" w:lineRule="auto"/>
              <w:ind w:firstLine="240" w:firstLineChars="100"/>
              <w:rPr>
                <w:rFonts w:ascii="仿宋_GB2312" w:hAnsi="宋体" w:eastAsia="仿宋_GB2312"/>
                <w:sz w:val="24"/>
                <w:szCs w:val="24"/>
              </w:rPr>
            </w:pPr>
            <w:r>
              <w:rPr>
                <w:rFonts w:hint="eastAsia" w:ascii="仿宋_GB2312" w:hAnsi="宋体" w:eastAsia="仿宋_GB2312"/>
                <w:sz w:val="24"/>
                <w:szCs w:val="24"/>
              </w:rPr>
              <w:t>根据优劣情况评分：优得12-15分，良得9-11，中得5-8分，差不得分。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837"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69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2</w:t>
            </w:r>
          </w:p>
        </w:tc>
        <w:tc>
          <w:tcPr>
            <w:tcW w:w="169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项目重点难点分析、应对措施及相关的合理化建议</w:t>
            </w:r>
          </w:p>
        </w:tc>
        <w:tc>
          <w:tcPr>
            <w:tcW w:w="70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10</w:t>
            </w: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评委打分</w:t>
            </w:r>
          </w:p>
        </w:tc>
        <w:tc>
          <w:tcPr>
            <w:tcW w:w="4794" w:type="dxa"/>
            <w:tcBorders>
              <w:top w:val="single" w:color="auto" w:sz="4" w:space="0"/>
              <w:left w:val="nil"/>
              <w:bottom w:val="single" w:color="auto" w:sz="4" w:space="0"/>
              <w:right w:val="single" w:color="auto" w:sz="4" w:space="0"/>
            </w:tcBorders>
            <w:vAlign w:val="center"/>
          </w:tcPr>
          <w:p>
            <w:pPr>
              <w:spacing w:line="360" w:lineRule="auto"/>
              <w:ind w:firstLine="228" w:firstLineChars="95"/>
              <w:jc w:val="left"/>
              <w:rPr>
                <w:rFonts w:ascii="仿宋_GB2312" w:hAnsi="宋体" w:eastAsia="仿宋_GB2312"/>
                <w:sz w:val="24"/>
                <w:szCs w:val="24"/>
              </w:rPr>
            </w:pPr>
            <w:r>
              <w:rPr>
                <w:rFonts w:hint="eastAsia" w:ascii="仿宋_GB2312" w:hAnsi="宋体" w:eastAsia="仿宋_GB2312"/>
                <w:sz w:val="24"/>
                <w:szCs w:val="24"/>
              </w:rPr>
              <w:t>重难点分析合理准确，解决方案科学可行。</w:t>
            </w:r>
          </w:p>
          <w:p>
            <w:pPr>
              <w:spacing w:line="360" w:lineRule="auto"/>
              <w:ind w:firstLine="240" w:firstLineChars="100"/>
              <w:jc w:val="left"/>
              <w:rPr>
                <w:rFonts w:ascii="仿宋_GB2312" w:hAnsi="宋体" w:eastAsia="仿宋_GB2312"/>
                <w:sz w:val="24"/>
                <w:szCs w:val="24"/>
              </w:rPr>
            </w:pPr>
            <w:r>
              <w:rPr>
                <w:rFonts w:hint="eastAsia" w:ascii="仿宋_GB2312" w:hAnsi="宋体" w:eastAsia="仿宋_GB2312"/>
                <w:sz w:val="24"/>
                <w:szCs w:val="24"/>
              </w:rPr>
              <w:t>根据优劣情况横向比较评分：优得9-10分，良得6-8分，中得3-5分，差不得分。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8" w:hRule="atLeast"/>
        </w:trPr>
        <w:tc>
          <w:tcPr>
            <w:tcW w:w="837"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69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3</w:t>
            </w:r>
          </w:p>
        </w:tc>
        <w:tc>
          <w:tcPr>
            <w:tcW w:w="169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质量（有效性、及时性、专业性、安全性）保障措施及方案</w:t>
            </w:r>
          </w:p>
        </w:tc>
        <w:tc>
          <w:tcPr>
            <w:tcW w:w="70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10</w:t>
            </w: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评委打分</w:t>
            </w:r>
          </w:p>
        </w:tc>
        <w:tc>
          <w:tcPr>
            <w:tcW w:w="4794" w:type="dxa"/>
            <w:tcBorders>
              <w:top w:val="single" w:color="auto" w:sz="4" w:space="0"/>
              <w:left w:val="nil"/>
              <w:bottom w:val="single" w:color="auto" w:sz="4" w:space="0"/>
              <w:right w:val="single" w:color="auto" w:sz="4" w:space="0"/>
            </w:tcBorders>
            <w:vAlign w:val="center"/>
          </w:tcPr>
          <w:p>
            <w:pPr>
              <w:spacing w:line="360" w:lineRule="auto"/>
              <w:ind w:firstLine="240" w:firstLineChars="100"/>
              <w:jc w:val="left"/>
              <w:rPr>
                <w:rFonts w:ascii="仿宋_GB2312" w:hAnsi="宋体" w:eastAsia="仿宋_GB2312"/>
                <w:sz w:val="24"/>
                <w:szCs w:val="24"/>
              </w:rPr>
            </w:pPr>
            <w:r>
              <w:rPr>
                <w:rFonts w:hint="eastAsia" w:ascii="仿宋_GB2312" w:hAnsi="宋体" w:eastAsia="仿宋_GB2312"/>
                <w:sz w:val="24"/>
                <w:szCs w:val="24"/>
              </w:rPr>
              <w:t>课题质量保障方案完整、保障措施具体有效，课题阶段性及最终时间节点清晰明确。</w:t>
            </w:r>
          </w:p>
          <w:p>
            <w:pPr>
              <w:spacing w:line="360" w:lineRule="auto"/>
              <w:ind w:firstLine="240" w:firstLineChars="100"/>
              <w:jc w:val="left"/>
              <w:rPr>
                <w:rFonts w:ascii="仿宋_GB2312" w:hAnsi="宋体" w:eastAsia="仿宋_GB2312"/>
                <w:sz w:val="24"/>
                <w:szCs w:val="24"/>
              </w:rPr>
            </w:pPr>
            <w:r>
              <w:rPr>
                <w:rFonts w:hint="eastAsia" w:ascii="仿宋_GB2312" w:hAnsi="宋体" w:eastAsia="仿宋_GB2312"/>
                <w:sz w:val="24"/>
                <w:szCs w:val="24"/>
              </w:rPr>
              <w:t>根据优劣情况横向比较评分：优得9-10分，良得6-8分，中得3-5分，差不得分。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trPr>
        <w:tc>
          <w:tcPr>
            <w:tcW w:w="837"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69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4</w:t>
            </w:r>
          </w:p>
        </w:tc>
        <w:tc>
          <w:tcPr>
            <w:tcW w:w="169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项目完成（服务期满）后的服务承诺和违约承诺</w:t>
            </w:r>
          </w:p>
        </w:tc>
        <w:tc>
          <w:tcPr>
            <w:tcW w:w="70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6</w:t>
            </w: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评委打分</w:t>
            </w:r>
          </w:p>
        </w:tc>
        <w:tc>
          <w:tcPr>
            <w:tcW w:w="4794" w:type="dxa"/>
            <w:tcBorders>
              <w:top w:val="single" w:color="auto" w:sz="4" w:space="0"/>
              <w:left w:val="nil"/>
              <w:bottom w:val="single" w:color="auto" w:sz="4" w:space="0"/>
              <w:right w:val="single" w:color="auto" w:sz="4" w:space="0"/>
            </w:tcBorders>
            <w:vAlign w:val="center"/>
          </w:tcPr>
          <w:p>
            <w:pPr>
              <w:spacing w:line="360" w:lineRule="auto"/>
              <w:ind w:firstLine="240" w:firstLineChars="100"/>
              <w:jc w:val="left"/>
              <w:rPr>
                <w:rFonts w:ascii="仿宋_GB2312" w:hAnsi="宋体" w:eastAsia="仿宋_GB2312"/>
                <w:sz w:val="24"/>
                <w:szCs w:val="24"/>
              </w:rPr>
            </w:pPr>
            <w:r>
              <w:rPr>
                <w:rFonts w:hint="eastAsia" w:ascii="仿宋_GB2312" w:hAnsi="宋体" w:eastAsia="仿宋_GB2312"/>
                <w:sz w:val="24"/>
                <w:szCs w:val="24"/>
              </w:rPr>
              <w:t>项目期满后承诺针对项目问题提供必要解释和接受咨询服务;</w:t>
            </w:r>
          </w:p>
          <w:p>
            <w:pPr>
              <w:spacing w:line="360" w:lineRule="auto"/>
              <w:ind w:firstLine="240" w:firstLineChars="100"/>
              <w:jc w:val="left"/>
              <w:rPr>
                <w:rFonts w:ascii="仿宋_GB2312" w:hAnsi="宋体" w:eastAsia="仿宋_GB2312"/>
                <w:sz w:val="24"/>
                <w:szCs w:val="24"/>
              </w:rPr>
            </w:pPr>
            <w:r>
              <w:rPr>
                <w:rFonts w:hint="eastAsia" w:ascii="仿宋_GB2312" w:hAnsi="宋体" w:eastAsia="仿宋_GB2312"/>
                <w:sz w:val="24"/>
                <w:szCs w:val="24"/>
              </w:rPr>
              <w:t>根据招标文件的需求和投标文件响应情况进行横向比较，分档评分：优得5-6分，良得4-5分，中得2-4分数，差不得分。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837" w:type="dxa"/>
            <w:vMerge w:val="continue"/>
            <w:tcBorders>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仿宋_GB2312" w:hAnsi="宋体" w:eastAsia="仿宋_GB2312"/>
                <w:sz w:val="24"/>
                <w:szCs w:val="24"/>
              </w:rPr>
            </w:pPr>
          </w:p>
        </w:tc>
        <w:tc>
          <w:tcPr>
            <w:tcW w:w="69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5</w:t>
            </w:r>
          </w:p>
        </w:tc>
        <w:tc>
          <w:tcPr>
            <w:tcW w:w="169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违约承诺</w:t>
            </w:r>
          </w:p>
        </w:tc>
        <w:tc>
          <w:tcPr>
            <w:tcW w:w="70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4</w:t>
            </w: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评委打分</w:t>
            </w:r>
          </w:p>
        </w:tc>
        <w:tc>
          <w:tcPr>
            <w:tcW w:w="4794" w:type="dxa"/>
            <w:tcBorders>
              <w:top w:val="single" w:color="auto" w:sz="4" w:space="0"/>
              <w:left w:val="nil"/>
              <w:bottom w:val="single" w:color="auto" w:sz="4" w:space="0"/>
              <w:right w:val="single" w:color="auto" w:sz="4" w:space="0"/>
            </w:tcBorders>
            <w:vAlign w:val="center"/>
          </w:tcPr>
          <w:p>
            <w:pPr>
              <w:spacing w:line="360" w:lineRule="auto"/>
              <w:ind w:firstLine="240" w:firstLineChars="100"/>
              <w:jc w:val="left"/>
              <w:rPr>
                <w:rFonts w:ascii="仿宋_GB2312" w:hAnsi="宋体" w:eastAsia="仿宋_GB2312"/>
                <w:sz w:val="24"/>
                <w:szCs w:val="24"/>
              </w:rPr>
            </w:pPr>
            <w:r>
              <w:rPr>
                <w:rFonts w:hint="eastAsia" w:ascii="仿宋_GB2312" w:hAnsi="宋体" w:eastAsia="仿宋_GB2312"/>
                <w:sz w:val="24"/>
                <w:szCs w:val="24"/>
              </w:rPr>
              <w:t>根据本项目实施各阶段进度、验收与罚扣要求，考察投标人做出承担违约责任的具体承诺。</w:t>
            </w:r>
          </w:p>
          <w:p>
            <w:pPr>
              <w:spacing w:line="360" w:lineRule="auto"/>
              <w:ind w:firstLine="240" w:firstLineChars="100"/>
              <w:jc w:val="left"/>
              <w:rPr>
                <w:rFonts w:ascii="仿宋_GB2312" w:hAnsi="宋体" w:eastAsia="仿宋_GB2312"/>
                <w:sz w:val="24"/>
                <w:szCs w:val="24"/>
              </w:rPr>
            </w:pPr>
            <w:r>
              <w:rPr>
                <w:rFonts w:hint="eastAsia" w:ascii="仿宋_GB2312" w:hAnsi="宋体" w:eastAsia="仿宋_GB2312"/>
                <w:sz w:val="24"/>
                <w:szCs w:val="24"/>
              </w:rPr>
              <w:t>根据招标文件的需求和投标文件响应情况进行横向比较，分档评分：优得4分，良得2-3分数，其他不得分。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6" w:firstLineChars="94"/>
              <w:jc w:val="center"/>
              <w:rPr>
                <w:rFonts w:ascii="仿宋_GB2312" w:hAnsi="宋体" w:eastAsia="仿宋_GB2312"/>
                <w:b/>
                <w:bCs/>
                <w:sz w:val="24"/>
                <w:szCs w:val="24"/>
              </w:rPr>
            </w:pPr>
            <w:r>
              <w:rPr>
                <w:rFonts w:hint="eastAsia" w:ascii="仿宋_GB2312" w:hAnsi="宋体" w:eastAsia="仿宋_GB2312"/>
                <w:b/>
                <w:bCs/>
                <w:sz w:val="24"/>
                <w:szCs w:val="24"/>
              </w:rPr>
              <w:t>3</w:t>
            </w:r>
          </w:p>
        </w:tc>
        <w:tc>
          <w:tcPr>
            <w:tcW w:w="3804" w:type="dxa"/>
            <w:gridSpan w:val="4"/>
            <w:tcBorders>
              <w:top w:val="single" w:color="auto" w:sz="4" w:space="0"/>
              <w:left w:val="nil"/>
              <w:bottom w:val="single" w:color="auto" w:sz="4" w:space="0"/>
              <w:right w:val="single" w:color="auto" w:sz="4" w:space="0"/>
            </w:tcBorders>
            <w:vAlign w:val="center"/>
          </w:tcPr>
          <w:p>
            <w:pPr>
              <w:spacing w:line="360" w:lineRule="auto"/>
              <w:ind w:firstLine="226" w:firstLineChars="94"/>
              <w:jc w:val="center"/>
              <w:rPr>
                <w:rFonts w:ascii="仿宋_GB2312" w:hAnsi="宋体" w:eastAsia="仿宋_GB2312"/>
                <w:b/>
                <w:bCs/>
                <w:sz w:val="24"/>
                <w:szCs w:val="24"/>
              </w:rPr>
            </w:pPr>
            <w:r>
              <w:rPr>
                <w:rFonts w:hint="eastAsia" w:ascii="仿宋_GB2312" w:hAnsi="宋体" w:eastAsia="仿宋_GB2312"/>
                <w:b/>
                <w:bCs/>
                <w:sz w:val="24"/>
                <w:szCs w:val="24"/>
              </w:rPr>
              <w:t>商务部分</w:t>
            </w:r>
          </w:p>
        </w:tc>
        <w:tc>
          <w:tcPr>
            <w:tcW w:w="4794" w:type="dxa"/>
            <w:tcBorders>
              <w:top w:val="single" w:color="auto" w:sz="4" w:space="0"/>
              <w:left w:val="nil"/>
              <w:bottom w:val="single" w:color="auto" w:sz="4" w:space="0"/>
              <w:right w:val="single" w:color="auto" w:sz="4" w:space="0"/>
            </w:tcBorders>
            <w:vAlign w:val="center"/>
          </w:tcPr>
          <w:p>
            <w:pPr>
              <w:spacing w:line="360" w:lineRule="auto"/>
              <w:ind w:firstLine="226" w:firstLineChars="94"/>
              <w:jc w:val="center"/>
              <w:rPr>
                <w:rFonts w:ascii="仿宋_GB2312" w:hAnsi="宋体" w:eastAsia="仿宋_GB2312"/>
                <w:b/>
                <w:bCs/>
                <w:sz w:val="24"/>
                <w:szCs w:val="24"/>
              </w:rPr>
            </w:pPr>
            <w:r>
              <w:rPr>
                <w:rFonts w:hint="eastAsia" w:ascii="仿宋_GB2312" w:hAnsi="宋体" w:eastAsia="仿宋_GB2312"/>
                <w:b/>
                <w:bCs/>
                <w:sz w:val="24"/>
                <w:szCs w:val="24"/>
                <w:lang w:val="en-US" w:eastAsia="zh-CN"/>
              </w:rPr>
              <w:t>3</w:t>
            </w:r>
            <w:r>
              <w:rPr>
                <w:rFonts w:hint="eastAsia" w:ascii="仿宋_GB2312" w:hAnsi="宋体" w:eastAsia="仿宋_GB2312"/>
                <w:b/>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 w:hRule="atLeast"/>
        </w:trPr>
        <w:tc>
          <w:tcPr>
            <w:tcW w:w="837" w:type="dxa"/>
            <w:vMerge w:val="restart"/>
            <w:tcBorders>
              <w:top w:val="nil"/>
              <w:left w:val="single" w:color="auto" w:sz="4" w:space="0"/>
              <w:bottom w:val="single" w:color="auto" w:sz="4" w:space="0"/>
              <w:right w:val="single" w:color="auto" w:sz="4" w:space="0"/>
            </w:tcBorders>
            <w:vAlign w:val="center"/>
          </w:tcPr>
          <w:p>
            <w:pPr>
              <w:spacing w:line="360" w:lineRule="auto"/>
              <w:ind w:firstLine="480" w:firstLineChars="200"/>
              <w:jc w:val="center"/>
              <w:rPr>
                <w:rFonts w:ascii="仿宋_GB2312" w:hAnsi="宋体" w:eastAsia="仿宋_GB2312"/>
                <w:sz w:val="24"/>
                <w:szCs w:val="24"/>
              </w:rPr>
            </w:pPr>
          </w:p>
        </w:tc>
        <w:tc>
          <w:tcPr>
            <w:tcW w:w="69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序号</w:t>
            </w:r>
          </w:p>
        </w:tc>
        <w:tc>
          <w:tcPr>
            <w:tcW w:w="169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评分因素</w:t>
            </w:r>
          </w:p>
        </w:tc>
        <w:tc>
          <w:tcPr>
            <w:tcW w:w="70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权重</w:t>
            </w: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评分方式</w:t>
            </w:r>
          </w:p>
        </w:tc>
        <w:tc>
          <w:tcPr>
            <w:tcW w:w="479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评分准则</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69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1</w:t>
            </w:r>
          </w:p>
        </w:tc>
        <w:tc>
          <w:tcPr>
            <w:tcW w:w="169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投标人同类项目业绩情况</w:t>
            </w:r>
          </w:p>
        </w:tc>
        <w:tc>
          <w:tcPr>
            <w:tcW w:w="70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10</w:t>
            </w: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评委打分</w:t>
            </w:r>
          </w:p>
        </w:tc>
        <w:tc>
          <w:tcPr>
            <w:tcW w:w="4794" w:type="dxa"/>
            <w:tcBorders>
              <w:top w:val="single" w:color="auto" w:sz="4" w:space="0"/>
              <w:left w:val="nil"/>
              <w:bottom w:val="single" w:color="auto" w:sz="4" w:space="0"/>
              <w:right w:val="single" w:color="auto" w:sz="4" w:space="0"/>
            </w:tcBorders>
            <w:vAlign w:val="center"/>
          </w:tcPr>
          <w:p>
            <w:pPr>
              <w:spacing w:line="360" w:lineRule="auto"/>
              <w:ind w:firstLine="240" w:firstLineChars="100"/>
              <w:jc w:val="left"/>
              <w:rPr>
                <w:rFonts w:ascii="仿宋_GB2312" w:hAnsi="宋体" w:eastAsia="仿宋_GB2312"/>
                <w:sz w:val="24"/>
                <w:szCs w:val="24"/>
              </w:rPr>
            </w:pPr>
            <w:r>
              <w:rPr>
                <w:rFonts w:hint="eastAsia" w:ascii="仿宋_GB2312" w:hAnsi="宋体" w:eastAsia="仿宋_GB2312"/>
                <w:sz w:val="24"/>
                <w:szCs w:val="24"/>
              </w:rPr>
              <w:t>投标人近五年（2014年1月1日至本项目招标公告发布之日）承担过类似课题项目（指的是社会政策研究、经济咨询类课题研究类项目），每提供1项得2分，最多得10分。</w:t>
            </w:r>
          </w:p>
          <w:p>
            <w:pPr>
              <w:spacing w:line="360" w:lineRule="auto"/>
              <w:ind w:firstLine="240" w:firstLineChars="100"/>
              <w:jc w:val="left"/>
              <w:rPr>
                <w:rFonts w:hint="eastAsia" w:ascii="仿宋_GB2312" w:hAnsi="宋体" w:eastAsia="仿宋_GB2312"/>
                <w:sz w:val="24"/>
                <w:szCs w:val="24"/>
              </w:rPr>
            </w:pPr>
            <w:r>
              <w:rPr>
                <w:rFonts w:hint="eastAsia" w:ascii="仿宋_GB2312" w:hAnsi="宋体" w:eastAsia="仿宋_GB2312"/>
                <w:sz w:val="24"/>
                <w:szCs w:val="24"/>
              </w:rPr>
              <w:t>注：1.要求同时提供合同关键信息页（通过合同关键信息无法判断是否得分的，也可提供能证明得分的其它证明资料，如中标通知书等）作为得分依据；上述资料均需提供扫描件或复印件（原件备查）。</w:t>
            </w:r>
          </w:p>
          <w:p>
            <w:pPr>
              <w:spacing w:line="360" w:lineRule="auto"/>
              <w:ind w:firstLine="240" w:firstLineChars="100"/>
              <w:jc w:val="left"/>
              <w:rPr>
                <w:rFonts w:ascii="仿宋_GB2312" w:hAnsi="宋体" w:eastAsia="仿宋_GB2312"/>
                <w:sz w:val="24"/>
                <w:szCs w:val="24"/>
              </w:rPr>
            </w:pPr>
            <w:r>
              <w:rPr>
                <w:rFonts w:hint="eastAsia" w:ascii="仿宋_GB2312" w:hAnsi="宋体" w:eastAsia="仿宋_GB2312"/>
                <w:sz w:val="24"/>
                <w:szCs w:val="24"/>
              </w:rPr>
              <w:t>2.评分中出现无证明资料或评委无法凭所提供资料判断是否得分的情况，一律作不得分处理。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8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69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2</w:t>
            </w:r>
          </w:p>
        </w:tc>
        <w:tc>
          <w:tcPr>
            <w:tcW w:w="169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拟安排的项目负责人情况</w:t>
            </w:r>
          </w:p>
        </w:tc>
        <w:tc>
          <w:tcPr>
            <w:tcW w:w="70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15</w:t>
            </w: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评委打分</w:t>
            </w:r>
          </w:p>
        </w:tc>
        <w:tc>
          <w:tcPr>
            <w:tcW w:w="4794" w:type="dxa"/>
            <w:tcBorders>
              <w:top w:val="single" w:color="auto" w:sz="4" w:space="0"/>
              <w:left w:val="nil"/>
              <w:bottom w:val="single" w:color="auto" w:sz="4" w:space="0"/>
              <w:right w:val="single" w:color="auto" w:sz="4" w:space="0"/>
            </w:tcBorders>
            <w:vAlign w:val="center"/>
          </w:tcPr>
          <w:p>
            <w:pPr>
              <w:spacing w:line="360" w:lineRule="auto"/>
              <w:jc w:val="left"/>
              <w:rPr>
                <w:rFonts w:ascii="仿宋_GB2312" w:hAnsi="宋体" w:eastAsia="仿宋_GB2312"/>
                <w:sz w:val="24"/>
                <w:szCs w:val="24"/>
              </w:rPr>
            </w:pPr>
            <w:r>
              <w:rPr>
                <w:rFonts w:hint="eastAsia" w:ascii="仿宋_GB2312" w:hAnsi="宋体" w:eastAsia="仿宋_GB2312"/>
                <w:sz w:val="24"/>
                <w:szCs w:val="24"/>
              </w:rPr>
              <w:t>1.项目负责人取得管理学、社会学或法学硕士及以上学位的得3分，其他学位者得1分；</w:t>
            </w:r>
          </w:p>
          <w:p>
            <w:pPr>
              <w:spacing w:line="360" w:lineRule="auto"/>
              <w:jc w:val="left"/>
              <w:rPr>
                <w:rFonts w:hint="eastAsia" w:ascii="仿宋_GB2312" w:hAnsi="宋体" w:eastAsia="仿宋_GB2312"/>
                <w:sz w:val="24"/>
                <w:szCs w:val="24"/>
              </w:rPr>
            </w:pPr>
            <w:r>
              <w:rPr>
                <w:rFonts w:hint="eastAsia" w:ascii="仿宋_GB2312" w:hAnsi="宋体" w:eastAsia="仿宋_GB2312"/>
                <w:sz w:val="24"/>
                <w:szCs w:val="24"/>
              </w:rPr>
              <w:t>2.至招标截止之日，项目负责人有担任类似社会政策研究、经济咨询类课题研究项目负责人情况的得4分,未担任过项目负责人情况的，不得分。</w:t>
            </w:r>
          </w:p>
          <w:p>
            <w:pPr>
              <w:spacing w:line="360" w:lineRule="auto"/>
              <w:jc w:val="left"/>
              <w:rPr>
                <w:rFonts w:hint="eastAsia" w:ascii="仿宋_GB2312" w:hAnsi="宋体" w:eastAsia="仿宋_GB2312"/>
                <w:sz w:val="24"/>
                <w:szCs w:val="24"/>
              </w:rPr>
            </w:pPr>
            <w:r>
              <w:rPr>
                <w:rFonts w:hint="eastAsia" w:ascii="仿宋_GB2312" w:hAnsi="宋体" w:eastAsia="仿宋_GB2312"/>
                <w:sz w:val="24"/>
                <w:szCs w:val="24"/>
              </w:rPr>
              <w:t>3.至招标截止之日，项目负责人担任类似社会政策研究、经济咨询类课题研究项目中有获奖项目的，每1项得2分，最多得8分。</w:t>
            </w:r>
          </w:p>
          <w:p>
            <w:pPr>
              <w:spacing w:line="360" w:lineRule="auto"/>
              <w:ind w:firstLine="240" w:firstLineChars="100"/>
              <w:jc w:val="left"/>
              <w:rPr>
                <w:rFonts w:hint="eastAsia" w:ascii="仿宋_GB2312" w:hAnsi="宋体" w:eastAsia="仿宋_GB2312"/>
                <w:sz w:val="24"/>
                <w:szCs w:val="24"/>
              </w:rPr>
            </w:pPr>
            <w:r>
              <w:rPr>
                <w:rFonts w:hint="eastAsia" w:ascii="仿宋_GB2312" w:hAnsi="宋体" w:eastAsia="仿宋_GB2312"/>
                <w:sz w:val="24"/>
                <w:szCs w:val="24"/>
              </w:rPr>
              <w:t>注：1.以上2项累加计分，要求提供项目负责人劳动合同、资格证明及其他证明材料（所有资料均要求扫描件，原件备查）。</w:t>
            </w:r>
          </w:p>
          <w:p>
            <w:pPr>
              <w:spacing w:line="360" w:lineRule="auto"/>
              <w:ind w:firstLine="240" w:firstLineChars="100"/>
              <w:jc w:val="left"/>
              <w:rPr>
                <w:rFonts w:ascii="仿宋_GB2312" w:hAnsi="宋体" w:eastAsia="仿宋_GB2312"/>
                <w:sz w:val="24"/>
                <w:szCs w:val="24"/>
              </w:rPr>
            </w:pPr>
            <w:r>
              <w:rPr>
                <w:rFonts w:hint="eastAsia" w:ascii="仿宋_GB2312" w:hAnsi="宋体" w:eastAsia="仿宋_GB2312"/>
                <w:sz w:val="24"/>
                <w:szCs w:val="24"/>
              </w:rPr>
              <w:t>2.评分中出现无证明资料或评委无法凭所提供资料判断是否得分的情况，一律作不得分处理。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8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69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4</w:t>
            </w:r>
          </w:p>
        </w:tc>
        <w:tc>
          <w:tcPr>
            <w:tcW w:w="169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团队研究力量（项目负责人除外）</w:t>
            </w:r>
          </w:p>
        </w:tc>
        <w:tc>
          <w:tcPr>
            <w:tcW w:w="70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10</w:t>
            </w: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专家打分</w:t>
            </w:r>
          </w:p>
        </w:tc>
        <w:tc>
          <w:tcPr>
            <w:tcW w:w="4794" w:type="dxa"/>
            <w:tcBorders>
              <w:top w:val="single" w:color="auto" w:sz="4" w:space="0"/>
              <w:left w:val="nil"/>
              <w:bottom w:val="single" w:color="auto" w:sz="4" w:space="0"/>
              <w:right w:val="single" w:color="auto" w:sz="4" w:space="0"/>
            </w:tcBorders>
            <w:vAlign w:val="center"/>
          </w:tcPr>
          <w:p>
            <w:pPr>
              <w:spacing w:line="360" w:lineRule="auto"/>
              <w:ind w:firstLine="240" w:firstLineChars="100"/>
              <w:jc w:val="left"/>
              <w:rPr>
                <w:rFonts w:ascii="仿宋_GB2312" w:hAnsi="宋体" w:eastAsia="仿宋_GB2312"/>
                <w:sz w:val="24"/>
                <w:szCs w:val="24"/>
              </w:rPr>
            </w:pPr>
            <w:r>
              <w:rPr>
                <w:rFonts w:hint="eastAsia" w:ascii="仿宋_GB2312" w:hAnsi="宋体" w:eastAsia="仿宋_GB2312"/>
                <w:sz w:val="24"/>
                <w:szCs w:val="24"/>
              </w:rPr>
              <w:t>项目团队成员人数不少于4人</w:t>
            </w:r>
            <w:r>
              <w:rPr>
                <w:rFonts w:hint="eastAsia" w:ascii="仿宋_GB2312" w:hAnsi="宋体" w:eastAsia="仿宋_GB2312"/>
                <w:b/>
                <w:bCs/>
                <w:sz w:val="24"/>
                <w:szCs w:val="24"/>
              </w:rPr>
              <w:t>，</w:t>
            </w:r>
            <w:r>
              <w:rPr>
                <w:rFonts w:hint="eastAsia" w:ascii="仿宋_GB2312" w:hAnsi="宋体" w:eastAsia="仿宋_GB2312"/>
                <w:sz w:val="24"/>
                <w:szCs w:val="24"/>
              </w:rPr>
              <w:t>3人以下本项不得分。</w:t>
            </w:r>
          </w:p>
          <w:p>
            <w:pPr>
              <w:spacing w:line="360" w:lineRule="auto"/>
              <w:jc w:val="left"/>
              <w:rPr>
                <w:rFonts w:hint="eastAsia" w:ascii="仿宋_GB2312" w:hAnsi="宋体" w:eastAsia="仿宋_GB2312"/>
                <w:sz w:val="24"/>
                <w:szCs w:val="24"/>
              </w:rPr>
            </w:pPr>
            <w:r>
              <w:rPr>
                <w:rFonts w:hint="eastAsia" w:ascii="仿宋_GB2312" w:hAnsi="宋体" w:eastAsia="仿宋_GB2312"/>
                <w:sz w:val="24"/>
                <w:szCs w:val="24"/>
              </w:rPr>
              <w:t>1.团队中含主持过省、部级以上研究课题的研究项目以及获奖项目，有3项以上的得6分，有2项的得4分，有1项的得2分，没有不得分。</w:t>
            </w:r>
          </w:p>
          <w:p>
            <w:pPr>
              <w:spacing w:line="360" w:lineRule="auto"/>
              <w:jc w:val="left"/>
              <w:rPr>
                <w:rFonts w:hint="eastAsia" w:ascii="仿宋_GB2312" w:hAnsi="宋体" w:eastAsia="仿宋_GB2312"/>
                <w:sz w:val="24"/>
                <w:szCs w:val="24"/>
              </w:rPr>
            </w:pPr>
            <w:r>
              <w:rPr>
                <w:rFonts w:hint="eastAsia" w:ascii="仿宋_GB2312" w:hAnsi="宋体" w:eastAsia="仿宋_GB2312"/>
                <w:sz w:val="24"/>
                <w:szCs w:val="24"/>
              </w:rPr>
              <w:t>2.团队中具备经济学、管理学、法学、社会学等专业硕士背景的，一人得1分，最多得4分；</w:t>
            </w:r>
          </w:p>
          <w:p>
            <w:pPr>
              <w:spacing w:line="360" w:lineRule="auto"/>
              <w:jc w:val="left"/>
              <w:rPr>
                <w:rFonts w:ascii="仿宋_GB2312" w:hAnsi="宋体" w:eastAsia="仿宋_GB2312"/>
                <w:sz w:val="24"/>
                <w:szCs w:val="24"/>
              </w:rPr>
            </w:pPr>
            <w:r>
              <w:rPr>
                <w:rFonts w:hint="eastAsia" w:ascii="仿宋_GB2312" w:hAnsi="宋体" w:eastAsia="仿宋_GB2312"/>
                <w:sz w:val="24"/>
                <w:szCs w:val="24"/>
              </w:rPr>
              <w:t>注：1.以上2项累加计分，要求提供团队成员劳动合同、资格证明及其他证明材料（所有资料均要求扫描件或复印件，原件备查）。2.评分中出现无证明资料或评委无法凭所提供资料判断是否得分的情况，一律作不得分处理。</w:t>
            </w:r>
          </w:p>
        </w:tc>
      </w:tr>
    </w:tbl>
    <w:p>
      <w:pPr>
        <w:jc w:val="left"/>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71FCC"/>
    <w:rsid w:val="000C62B9"/>
    <w:rsid w:val="00375ACF"/>
    <w:rsid w:val="003C67D2"/>
    <w:rsid w:val="004C453B"/>
    <w:rsid w:val="006C3A82"/>
    <w:rsid w:val="006E2B63"/>
    <w:rsid w:val="007D7D91"/>
    <w:rsid w:val="00971FCC"/>
    <w:rsid w:val="00B114DD"/>
    <w:rsid w:val="00B94206"/>
    <w:rsid w:val="00C343DB"/>
    <w:rsid w:val="67E94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218</Words>
  <Characters>1247</Characters>
  <Lines>10</Lines>
  <Paragraphs>2</Paragraphs>
  <TotalTime>61</TotalTime>
  <ScaleCrop>false</ScaleCrop>
  <LinksUpToDate>false</LinksUpToDate>
  <CharactersWithSpaces>1463</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2019-08-22T04:48:00Z</dcterms:created>
  <dc:creator>杨宇虹</dc:creator>
  <cp:lastModifiedBy>醉梦</cp:lastModifiedBy>
  <dcterms:modified xsi:type="dcterms:W3CDTF">2019-08-22T10:09:53Z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