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</w:t>
      </w:r>
    </w:p>
    <w:p>
      <w:pPr>
        <w:spacing w:line="560" w:lineRule="exact"/>
        <w:ind w:left="1320" w:hanging="1320" w:hangingChars="3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深圳市2020年“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保险送精兵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”活动管理</w:t>
      </w:r>
    </w:p>
    <w:p>
      <w:pPr>
        <w:spacing w:line="560" w:lineRule="exact"/>
        <w:ind w:left="1320" w:hanging="1320" w:hangingChars="30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评分表</w:t>
      </w:r>
    </w:p>
    <w:tbl>
      <w:tblPr>
        <w:tblStyle w:val="3"/>
        <w:tblW w:w="99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709"/>
        <w:gridCol w:w="1425"/>
        <w:gridCol w:w="5593"/>
        <w:gridCol w:w="1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0"/>
                <w:sz w:val="24"/>
                <w:szCs w:val="24"/>
              </w:rPr>
              <w:t>评分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0"/>
                <w:sz w:val="24"/>
                <w:szCs w:val="24"/>
              </w:rPr>
              <w:t>因素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0"/>
                <w:sz w:val="24"/>
                <w:szCs w:val="24"/>
              </w:rPr>
              <w:t>分值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0"/>
                <w:sz w:val="24"/>
                <w:szCs w:val="24"/>
              </w:rPr>
              <w:t>评分内容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0"/>
                <w:sz w:val="24"/>
                <w:szCs w:val="24"/>
              </w:rPr>
              <w:t>评分标准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1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-11"/>
                <w:kern w:val="16"/>
              </w:rPr>
            </w:pPr>
            <w:r>
              <w:rPr>
                <w:rFonts w:hint="eastAsia" w:ascii="宋体" w:hAnsi="宋体"/>
                <w:b/>
                <w:spacing w:val="-11"/>
                <w:kern w:val="16"/>
              </w:rPr>
              <w:t>报价部分</w:t>
            </w:r>
            <w:r>
              <w:rPr>
                <w:rFonts w:hint="eastAsia" w:ascii="宋体" w:hAnsi="宋体"/>
                <w:b/>
                <w:spacing w:val="-11"/>
                <w:kern w:val="16"/>
              </w:rPr>
              <w:br w:type="textWrapping"/>
            </w:r>
            <w:r>
              <w:rPr>
                <w:rFonts w:hint="eastAsia" w:ascii="宋体" w:hAnsi="宋体"/>
                <w:b/>
                <w:spacing w:val="-11"/>
                <w:kern w:val="16"/>
              </w:rPr>
              <w:t>（A）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pacing w:val="-11"/>
                <w:kern w:val="1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kern w:val="16"/>
                <w:sz w:val="22"/>
                <w:szCs w:val="22"/>
              </w:rPr>
              <w:t>20分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报价得分</w:t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（20分）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报价得分按照低价优先法计算，即满足采购招标需求且方案报价最低的投标人报价为评标基准价，其价格分为满分，其他供应商的价格得分统一按照下列公式计算：报价得分=(评标基准价／方案报价)×20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-11"/>
                <w:kern w:val="16"/>
              </w:rPr>
            </w:pPr>
            <w:r>
              <w:rPr>
                <w:rFonts w:hint="eastAsia" w:ascii="宋体" w:hAnsi="宋体"/>
                <w:b/>
                <w:spacing w:val="-11"/>
                <w:kern w:val="16"/>
              </w:rPr>
              <w:t>技术部分</w:t>
            </w:r>
            <w:r>
              <w:rPr>
                <w:rFonts w:hint="eastAsia" w:ascii="宋体" w:hAnsi="宋体"/>
                <w:b/>
                <w:spacing w:val="-11"/>
                <w:kern w:val="16"/>
              </w:rPr>
              <w:br w:type="textWrapping"/>
            </w:r>
            <w:r>
              <w:rPr>
                <w:rFonts w:hint="eastAsia" w:ascii="宋体" w:hAnsi="宋体"/>
                <w:b/>
                <w:spacing w:val="-11"/>
                <w:kern w:val="16"/>
              </w:rPr>
              <w:t>（B）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pacing w:val="-11"/>
                <w:kern w:val="1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kern w:val="16"/>
                <w:sz w:val="22"/>
                <w:szCs w:val="22"/>
              </w:rPr>
              <w:t>50分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B1、技术方案得分（20分）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项目方案具有针对性、侧重点，对项目需求的认识和理解的评价，能准确、充分理解项目整体要求，项目需求分析内容完整、考虑周全、分析透彻、保障措施。针对承保安排、团队实力、业绩经验、理赔方案、保险资质和配套服务等方面进行评分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优评审标准：内容完整准确详细，思路清晰，切合实际情况；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良评审标准：内容较为完整准确详细，思路较为清晰，符合实际情况；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中评审标准：内容基本完整准确；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差评审标准：内容有缺失或未提供。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评审委员会根据投标文件响应情况分档评分：评价为优得20分，评价为良得15分，评价为中得10分，评价为差得0分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B2、团队实力得分（20分）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投标单位情况及通过相关认证情况，评分内容：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1、项目负责人具备双拥活动的丰富实践经验：本项目负责人有承接或者参与过政府项目的管理经验10年以上，得5分；5年以上，得3分；3年以上，得1分；3年以下不得分。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2、投标单位：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（1）投标单位业务范围涉及双拥优抚方面，得5分。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（2）投标单位本地服务能力，具有广东省或在深圳市有合法注册的单位得2分，须在投标文件中就设立的机构类型进行说明，并提供机构营业执照扫描件，原件备查，否则不得分。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（3）投标单位获得省、市颁发证书、奖项，每个得2分，满分8分。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注：要求提供相关获奖证书扫描件（原件备查）作为得分依据。具有承接政府职能和购买服务的单位优先考虑。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B3、项目重点、难点分析（10分）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提供符合本项目服务特点的相关重点难点分析、应对措施及相关的合理化建议。（1）项目重点难点分析、应对措施及相关的合理化建议内容全面、具体；（2）项目重点难点分析、应对措施及相关的合理化建议内容针对性强；（3）项目重点难点分析、应对措施及相关的合理化建议内容科学合理、可操作性强；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满足已上三项要求得10分，满足二项要求得6分，满足一项得2分，其他情况不得分。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技术部分得分（B）=B1+B2+B3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商务部分（C）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30分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C1、同类项目经历（12分）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1、投标主体近3年参与过军人保险调研课题活动，承办过团体保险项目得12分；</w:t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2、投标主体近3年未参与过军人保险调研课题活动，但承办过团体保险项目得8分；</w:t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3、投标主体近3年近3年未参与过军人保险调研课题活动，未承办过团体保险项目得0分。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相关证明文件：要求提供合同关键页等证明材料作为得分依据。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C2、售后服务（10分）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售后服务承诺详细、具体，满足用户要求且优于其他投标人售后服务承诺，并承诺在项目实施过程中能够按照客户方的需求不断完善和改进，以满足客户方的功能需求，明确服务年限、服务及时到位的得评分（10分）；售后服务周到，具有较完善服务体系的得（5分）；售后服务体系不完备的得（0分）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C3、诚信情况得分（8分）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在投标文件中提供售后服务和违约承诺函的得8分，没有不得分。</w:t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10"/>
                <w:sz w:val="22"/>
                <w:szCs w:val="22"/>
                <w:shd w:val="clear" w:fill="auto"/>
              </w:rPr>
              <w:t>提供诚信承诺函加盖公章原件，格式见附件2-2，如被认定提供的陈述与事实不符的，依法追究其责任</w:t>
            </w: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  <w:lang w:eastAsia="zh-CN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投标人承诺服务期满后主动办理交接手续及资料归档，投标人提供违约承诺（格式自定）得4分，未提供承若或承诺内容不满足要求不得分。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商务部分得分（C）=C1+C2+C3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7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评标总得分 Z = A + B + C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after="0"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pStyle w:val="2"/>
        <w:widowControl/>
        <w:spacing w:after="0"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pStyle w:val="2"/>
        <w:widowControl/>
        <w:spacing w:after="0" w:line="56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3C04"/>
    <w:rsid w:val="41826614"/>
    <w:rsid w:val="487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2020-07-08T08:53:00Z</dcterms:created>
  <dc:creator>余盈利</dc:creator>
  <cp:lastModifiedBy>董克源</cp:lastModifiedBy>
  <dcterms:modified xsi:type="dcterms:W3CDTF">2020-07-09T06:06:26Z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