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Times New Roman"/>
          <w:spacing w:val="0"/>
          <w:kern w:val="2"/>
          <w:sz w:val="32"/>
          <w:szCs w:val="32"/>
          <w:lang w:val="en-US" w:eastAsia="zh-CN" w:bidi="ar-SA"/>
        </w:rPr>
      </w:pPr>
      <w:r>
        <w:rPr>
          <w:rFonts w:hint="eastAsia" w:ascii="黑体" w:hAnsi="黑体" w:eastAsia="黑体" w:cs="Times New Roman"/>
          <w:spacing w:val="0"/>
          <w:kern w:val="2"/>
          <w:sz w:val="32"/>
          <w:szCs w:val="32"/>
          <w:lang w:val="en-US" w:eastAsia="zh-CN" w:bidi="ar-SA"/>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0"/>
          <w:kern w:val="2"/>
          <w:sz w:val="44"/>
          <w:szCs w:val="44"/>
          <w:lang w:val="en-US" w:eastAsia="zh-CN" w:bidi="ar-SA"/>
        </w:rPr>
        <w:t>评分细则</w:t>
      </w:r>
      <w:bookmarkStart w:id="1" w:name="_GoBack"/>
      <w:bookmarkEnd w:id="1"/>
    </w:p>
    <w:tbl>
      <w:tblPr>
        <w:tblStyle w:val="5"/>
        <w:tblW w:w="9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1"/>
        <w:gridCol w:w="1704"/>
        <w:gridCol w:w="609"/>
        <w:gridCol w:w="5211"/>
        <w:gridCol w:w="11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135" w:type="dxa"/>
            <w:gridSpan w:val="4"/>
            <w:noWrap w:val="0"/>
            <w:vAlign w:val="center"/>
          </w:tcPr>
          <w:p>
            <w:pPr>
              <w:autoSpaceDE w:val="0"/>
              <w:autoSpaceDN w:val="0"/>
              <w:adjustRightInd w:val="0"/>
              <w:spacing w:line="240" w:lineRule="atLeast"/>
              <w:jc w:val="center"/>
              <w:rPr>
                <w:rFonts w:hint="eastAsia" w:ascii="微软雅黑" w:hAnsi="微软雅黑" w:eastAsia="微软雅黑" w:cs="微软雅黑"/>
                <w:b/>
                <w:szCs w:val="21"/>
                <w:lang w:val="zh-CN"/>
              </w:rPr>
            </w:pPr>
            <w:r>
              <w:rPr>
                <w:rFonts w:hint="eastAsia" w:ascii="微软雅黑" w:hAnsi="微软雅黑" w:eastAsia="微软雅黑" w:cs="微软雅黑"/>
                <w:b/>
                <w:szCs w:val="21"/>
                <w:lang w:val="zh-CN"/>
              </w:rPr>
              <w:t>评分项及评分规则</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b/>
                <w:szCs w:val="21"/>
                <w:lang w:val="zh-CN"/>
              </w:rPr>
            </w:pPr>
            <w:r>
              <w:rPr>
                <w:rFonts w:hint="eastAsia" w:ascii="微软雅黑" w:hAnsi="微软雅黑" w:eastAsia="微软雅黑" w:cs="微软雅黑"/>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135" w:type="dxa"/>
            <w:gridSpan w:val="4"/>
            <w:noWrap w:val="0"/>
            <w:vAlign w:val="center"/>
          </w:tcPr>
          <w:p>
            <w:pPr>
              <w:autoSpaceDE w:val="0"/>
              <w:autoSpaceDN w:val="0"/>
              <w:adjustRightInd w:val="0"/>
              <w:spacing w:line="240" w:lineRule="atLeast"/>
              <w:jc w:val="center"/>
              <w:rPr>
                <w:rFonts w:hint="eastAsia" w:ascii="微软雅黑" w:hAnsi="微软雅黑" w:eastAsia="微软雅黑" w:cs="微软雅黑"/>
                <w:b/>
                <w:szCs w:val="21"/>
                <w:lang w:val="zh-CN"/>
              </w:rPr>
            </w:pPr>
            <w:r>
              <w:rPr>
                <w:rFonts w:hint="eastAsia" w:ascii="微软雅黑" w:hAnsi="微软雅黑" w:eastAsia="微软雅黑" w:cs="微软雅黑"/>
                <w:b/>
                <w:szCs w:val="21"/>
                <w:lang w:val="zh-CN"/>
              </w:rPr>
              <w:t>一、价格部分</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8135" w:type="dxa"/>
            <w:gridSpan w:val="4"/>
            <w:noWrap w:val="0"/>
            <w:vAlign w:val="center"/>
          </w:tcPr>
          <w:p>
            <w:pPr>
              <w:spacing w:line="240" w:lineRule="atLeast"/>
              <w:rPr>
                <w:rFonts w:hint="eastAsia" w:ascii="微软雅黑" w:hAnsi="微软雅黑" w:eastAsia="微软雅黑" w:cs="微软雅黑"/>
                <w:szCs w:val="21"/>
              </w:rPr>
            </w:pPr>
            <w:r>
              <w:rPr>
                <w:rFonts w:hint="eastAsia" w:ascii="微软雅黑" w:hAnsi="微软雅黑" w:eastAsia="微软雅黑" w:cs="微软雅黑"/>
                <w:szCs w:val="21"/>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lang w:val="zh-CN"/>
              </w:rPr>
            </w:pPr>
            <w:r>
              <w:rPr>
                <w:rFonts w:hint="eastAsia" w:ascii="微软雅黑" w:hAnsi="微软雅黑" w:eastAsia="微软雅黑" w:cs="微软雅黑"/>
                <w:szCs w:val="21"/>
                <w:lang w:val="zh-CN"/>
              </w:rPr>
              <w:t>评分方式</w:t>
            </w:r>
          </w:p>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lang w:val="zh-CN"/>
              </w:rPr>
              <w:t>按公式计算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135" w:type="dxa"/>
            <w:gridSpan w:val="4"/>
            <w:noWrap w:val="0"/>
            <w:vAlign w:val="center"/>
          </w:tcPr>
          <w:p>
            <w:pPr>
              <w:autoSpaceDE w:val="0"/>
              <w:autoSpaceDN w:val="0"/>
              <w:adjustRightInd w:val="0"/>
              <w:spacing w:line="240" w:lineRule="atLeast"/>
              <w:jc w:val="center"/>
              <w:rPr>
                <w:rFonts w:hint="eastAsia" w:ascii="微软雅黑" w:hAnsi="微软雅黑" w:eastAsia="微软雅黑" w:cs="微软雅黑"/>
                <w:b/>
                <w:szCs w:val="21"/>
              </w:rPr>
            </w:pPr>
            <w:r>
              <w:rPr>
                <w:rFonts w:hint="eastAsia" w:ascii="微软雅黑" w:hAnsi="微软雅黑" w:eastAsia="微软雅黑" w:cs="微软雅黑"/>
                <w:b/>
                <w:szCs w:val="21"/>
                <w:lang w:val="zh-CN"/>
              </w:rPr>
              <w:t>二、技术部分</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11"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lang w:val="zh-CN"/>
              </w:rPr>
              <w:t>序号</w:t>
            </w:r>
          </w:p>
        </w:tc>
        <w:tc>
          <w:tcPr>
            <w:tcW w:w="1704"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lang w:val="zh-CN"/>
              </w:rPr>
              <w:t>内容</w:t>
            </w:r>
          </w:p>
        </w:tc>
        <w:tc>
          <w:tcPr>
            <w:tcW w:w="609"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lang w:val="zh-CN"/>
              </w:rPr>
              <w:t>权重</w:t>
            </w:r>
          </w:p>
        </w:tc>
        <w:tc>
          <w:tcPr>
            <w:tcW w:w="5211"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lang w:val="zh-CN"/>
              </w:rPr>
              <w:t>评分规则</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611" w:type="dxa"/>
            <w:noWrap w:val="0"/>
            <w:vAlign w:val="center"/>
          </w:tcPr>
          <w:p>
            <w:pPr>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rPr>
              <w:t>1</w:t>
            </w:r>
          </w:p>
        </w:tc>
        <w:tc>
          <w:tcPr>
            <w:tcW w:w="1704" w:type="dxa"/>
            <w:noWrap w:val="0"/>
            <w:vAlign w:val="center"/>
          </w:tcPr>
          <w:p>
            <w:pPr>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rPr>
              <w:t>对项目需求的认识和理解的评价</w:t>
            </w:r>
          </w:p>
        </w:tc>
        <w:tc>
          <w:tcPr>
            <w:tcW w:w="609" w:type="dxa"/>
            <w:noWrap w:val="0"/>
            <w:vAlign w:val="center"/>
          </w:tcPr>
          <w:p>
            <w:pPr>
              <w:spacing w:line="240" w:lineRule="atLeast"/>
              <w:jc w:val="center"/>
              <w:rPr>
                <w:rFonts w:ascii="微软雅黑" w:hAnsi="微软雅黑" w:eastAsia="微软雅黑" w:cs="微软雅黑"/>
                <w:szCs w:val="21"/>
              </w:rPr>
            </w:pPr>
            <w:r>
              <w:rPr>
                <w:rFonts w:hint="eastAsia" w:ascii="微软雅黑" w:hAnsi="微软雅黑" w:eastAsia="微软雅黑" w:cs="微软雅黑"/>
                <w:szCs w:val="21"/>
              </w:rPr>
              <w:t>10</w:t>
            </w:r>
          </w:p>
        </w:tc>
        <w:tc>
          <w:tcPr>
            <w:tcW w:w="5211" w:type="dxa"/>
            <w:noWrap w:val="0"/>
            <w:vAlign w:val="center"/>
          </w:tcPr>
          <w:p>
            <w:pPr>
              <w:spacing w:line="240" w:lineRule="atLeast"/>
              <w:rPr>
                <w:rFonts w:ascii="微软雅黑" w:hAnsi="微软雅黑" w:eastAsia="微软雅黑" w:cs="微软雅黑"/>
                <w:szCs w:val="21"/>
              </w:rPr>
            </w:pPr>
            <w:r>
              <w:rPr>
                <w:rFonts w:hint="eastAsia" w:ascii="微软雅黑" w:hAnsi="微软雅黑" w:eastAsia="微软雅黑" w:cs="微软雅黑"/>
                <w:szCs w:val="21"/>
              </w:rPr>
              <w:t>能准确、充分理解项目整体要求，项目需求分析内容完整、考虑周全、分析透彻。</w:t>
            </w:r>
          </w:p>
          <w:p>
            <w:pPr>
              <w:spacing w:line="240" w:lineRule="atLeast"/>
              <w:rPr>
                <w:rFonts w:hint="eastAsia" w:ascii="微软雅黑" w:hAnsi="微软雅黑" w:eastAsia="微软雅黑" w:cs="微软雅黑"/>
                <w:szCs w:val="21"/>
              </w:rPr>
            </w:pPr>
            <w:r>
              <w:rPr>
                <w:rFonts w:hint="eastAsia" w:ascii="微软雅黑" w:hAnsi="微软雅黑" w:eastAsia="微软雅黑" w:cs="微软雅黑"/>
                <w:szCs w:val="21"/>
              </w:rPr>
              <w:t>优评审标准：内容完整准确详细，思路清晰，切合实际情况；</w:t>
            </w:r>
          </w:p>
          <w:p>
            <w:pPr>
              <w:spacing w:line="240" w:lineRule="atLeast"/>
              <w:rPr>
                <w:rFonts w:hint="eastAsia" w:ascii="微软雅黑" w:hAnsi="微软雅黑" w:eastAsia="微软雅黑" w:cs="微软雅黑"/>
                <w:szCs w:val="21"/>
              </w:rPr>
            </w:pPr>
            <w:r>
              <w:rPr>
                <w:rFonts w:hint="eastAsia" w:ascii="微软雅黑" w:hAnsi="微软雅黑" w:eastAsia="微软雅黑" w:cs="微软雅黑"/>
                <w:szCs w:val="21"/>
              </w:rPr>
              <w:t>良评审标准：内容较为完整准确详细，思路较为清晰，符合实际情况；</w:t>
            </w:r>
          </w:p>
          <w:p>
            <w:pPr>
              <w:spacing w:line="240" w:lineRule="atLeast"/>
              <w:rPr>
                <w:rFonts w:hint="eastAsia" w:ascii="微软雅黑" w:hAnsi="微软雅黑" w:eastAsia="微软雅黑" w:cs="微软雅黑"/>
                <w:szCs w:val="21"/>
              </w:rPr>
            </w:pPr>
            <w:r>
              <w:rPr>
                <w:rFonts w:hint="eastAsia" w:ascii="微软雅黑" w:hAnsi="微软雅黑" w:eastAsia="微软雅黑" w:cs="微软雅黑"/>
                <w:szCs w:val="21"/>
              </w:rPr>
              <w:t>中评审标准：内容基本完整准确；</w:t>
            </w:r>
          </w:p>
          <w:p>
            <w:pPr>
              <w:spacing w:line="240" w:lineRule="atLeast"/>
              <w:rPr>
                <w:rFonts w:hint="eastAsia" w:ascii="微软雅黑" w:hAnsi="微软雅黑" w:eastAsia="微软雅黑" w:cs="微软雅黑"/>
                <w:szCs w:val="21"/>
              </w:rPr>
            </w:pPr>
            <w:r>
              <w:rPr>
                <w:rFonts w:hint="eastAsia" w:ascii="微软雅黑" w:hAnsi="微软雅黑" w:eastAsia="微软雅黑" w:cs="微软雅黑"/>
                <w:szCs w:val="21"/>
              </w:rPr>
              <w:t>差评审标准：内容有缺失或未提供。</w:t>
            </w:r>
          </w:p>
          <w:p>
            <w:pPr>
              <w:spacing w:line="240" w:lineRule="atLeast"/>
              <w:rPr>
                <w:rFonts w:hint="eastAsia" w:ascii="微软雅黑" w:hAnsi="微软雅黑" w:eastAsia="微软雅黑" w:cs="微软雅黑"/>
                <w:szCs w:val="21"/>
              </w:rPr>
            </w:pPr>
            <w:r>
              <w:rPr>
                <w:rFonts w:hint="eastAsia" w:ascii="微软雅黑" w:hAnsi="微软雅黑" w:eastAsia="微软雅黑" w:cs="微软雅黑"/>
                <w:szCs w:val="21"/>
              </w:rPr>
              <w:t>评审委员会根据投标文件响应情况分档评分：</w:t>
            </w:r>
          </w:p>
          <w:p>
            <w:pPr>
              <w:spacing w:line="240" w:lineRule="atLeast"/>
              <w:rPr>
                <w:rFonts w:hint="eastAsia" w:ascii="微软雅黑" w:hAnsi="微软雅黑" w:eastAsia="微软雅黑" w:cs="微软雅黑"/>
                <w:szCs w:val="21"/>
              </w:rPr>
            </w:pPr>
            <w:r>
              <w:rPr>
                <w:rFonts w:hint="eastAsia" w:ascii="微软雅黑" w:hAnsi="微软雅黑" w:eastAsia="微软雅黑" w:cs="微软雅黑"/>
                <w:szCs w:val="21"/>
              </w:rPr>
              <w:t>评价为优得10分，评价为良得6分，评价为中得3分，评价为差得0分。</w:t>
            </w:r>
          </w:p>
        </w:tc>
        <w:tc>
          <w:tcPr>
            <w:tcW w:w="1130" w:type="dxa"/>
            <w:noWrap w:val="0"/>
            <w:vAlign w:val="center"/>
          </w:tcPr>
          <w:p>
            <w:pPr>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lang w:val="zh-CN"/>
              </w:rPr>
              <w:t>专家打分</w:t>
            </w:r>
          </w:p>
        </w:tc>
      </w:tr>
    </w:tbl>
    <w:p>
      <w:r>
        <w:br w:type="page"/>
      </w:r>
    </w:p>
    <w:tbl>
      <w:tblPr>
        <w:tblStyle w:val="5"/>
        <w:tblW w:w="9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1"/>
        <w:gridCol w:w="1704"/>
        <w:gridCol w:w="609"/>
        <w:gridCol w:w="5211"/>
        <w:gridCol w:w="11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11"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w:t>
            </w:r>
          </w:p>
        </w:tc>
        <w:tc>
          <w:tcPr>
            <w:tcW w:w="1704"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项目中宣传平台多样性，重点难点分析及解决方案</w:t>
            </w:r>
          </w:p>
        </w:tc>
        <w:tc>
          <w:tcPr>
            <w:tcW w:w="609" w:type="dxa"/>
            <w:noWrap w:val="0"/>
            <w:vAlign w:val="center"/>
          </w:tcPr>
          <w:p>
            <w:pPr>
              <w:spacing w:line="24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10</w:t>
            </w:r>
          </w:p>
        </w:tc>
        <w:tc>
          <w:tcPr>
            <w:tcW w:w="5211" w:type="dxa"/>
            <w:noWrap w:val="0"/>
            <w:vAlign w:val="center"/>
          </w:tcPr>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对项目服务提供宣传平台多样性、影响力、实施难度及解决方案等方面重点难点及解决方案的情况</w:t>
            </w:r>
            <w:r>
              <w:rPr>
                <w:rFonts w:hint="eastAsia" w:ascii="微软雅黑" w:hAnsi="微软雅黑" w:eastAsia="微软雅黑" w:cs="微软雅黑"/>
                <w:color w:val="000000"/>
                <w:szCs w:val="21"/>
                <w:lang w:eastAsia="zh-CN"/>
              </w:rPr>
              <w:t>：</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具备深圳市主流媒体（指电视台、报纸、网站、新媒体平台等市级</w:t>
            </w:r>
            <w:r>
              <w:rPr>
                <w:rFonts w:hint="eastAsia" w:ascii="微软雅黑" w:hAnsi="微软雅黑" w:eastAsia="微软雅黑" w:cs="微软雅黑"/>
                <w:color w:val="000000"/>
                <w:szCs w:val="21"/>
                <w:lang w:val="en-US" w:eastAsia="zh-CN"/>
              </w:rPr>
              <w:t>以上</w:t>
            </w:r>
            <w:r>
              <w:rPr>
                <w:rFonts w:hint="eastAsia" w:ascii="微软雅黑" w:hAnsi="微软雅黑" w:eastAsia="微软雅黑" w:cs="微软雅黑"/>
                <w:color w:val="000000"/>
                <w:szCs w:val="21"/>
              </w:rPr>
              <w:t>媒体单位</w:t>
            </w:r>
            <w:r>
              <w:rPr>
                <w:rFonts w:hint="eastAsia" w:ascii="微软雅黑" w:hAnsi="微软雅黑" w:eastAsia="微软雅黑" w:cs="微软雅黑"/>
                <w:color w:val="000000"/>
                <w:szCs w:val="21"/>
                <w:lang w:val="en-US" w:eastAsia="zh-CN"/>
              </w:rPr>
              <w:t>及其下属媒体单位</w:t>
            </w:r>
            <w:r>
              <w:rPr>
                <w:rFonts w:hint="eastAsia" w:ascii="微软雅黑" w:hAnsi="微软雅黑" w:eastAsia="微软雅黑" w:cs="微软雅黑"/>
                <w:color w:val="000000"/>
                <w:szCs w:val="21"/>
              </w:rPr>
              <w:t>）的发稿资格</w:t>
            </w:r>
            <w:r>
              <w:rPr>
                <w:rFonts w:hint="eastAsia" w:ascii="微软雅黑" w:hAnsi="微软雅黑" w:eastAsia="微软雅黑" w:cs="微软雅黑"/>
                <w:color w:val="000000"/>
                <w:szCs w:val="21"/>
                <w:lang w:eastAsia="zh-CN"/>
              </w:rPr>
              <w:t>；</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拥有50万粉丝以上的新媒体发稿平台</w:t>
            </w:r>
            <w:r>
              <w:rPr>
                <w:rFonts w:hint="eastAsia" w:ascii="微软雅黑" w:hAnsi="微软雅黑" w:eastAsia="微软雅黑" w:cs="微软雅黑"/>
                <w:color w:val="000000"/>
                <w:szCs w:val="21"/>
                <w:lang w:eastAsia="zh-CN"/>
              </w:rPr>
              <w:t>；</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可制作网页专题、提供新闻采访服务。</w:t>
            </w:r>
          </w:p>
          <w:p>
            <w:pPr>
              <w:spacing w:line="240" w:lineRule="atLeast"/>
              <w:rPr>
                <w:rFonts w:ascii="微软雅黑" w:hAnsi="微软雅黑" w:eastAsia="微软雅黑" w:cs="微软雅黑"/>
                <w:color w:val="000000"/>
                <w:szCs w:val="21"/>
              </w:rPr>
            </w:pPr>
            <w:r>
              <w:rPr>
                <w:rFonts w:hint="eastAsia" w:ascii="微软雅黑" w:hAnsi="微软雅黑" w:eastAsia="微软雅黑" w:cs="微软雅黑"/>
                <w:color w:val="000000"/>
                <w:szCs w:val="21"/>
              </w:rPr>
              <w:t>优评审标准：内容完整，合理性强，满足3个及以上资格；</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良评审标准：内容完整，合理性较强；满足2个及以上资格；</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中评审标准：内容完整，合理性一般；满足</w:t>
            </w:r>
            <w:r>
              <w:rPr>
                <w:rFonts w:ascii="微软雅黑" w:hAnsi="微软雅黑" w:eastAsia="微软雅黑" w:cs="微软雅黑"/>
                <w:color w:val="000000"/>
                <w:szCs w:val="21"/>
              </w:rPr>
              <w:t>1</w:t>
            </w:r>
            <w:r>
              <w:rPr>
                <w:rFonts w:hint="eastAsia" w:ascii="微软雅黑" w:hAnsi="微软雅黑" w:eastAsia="微软雅黑" w:cs="微软雅黑"/>
                <w:color w:val="000000"/>
                <w:szCs w:val="21"/>
              </w:rPr>
              <w:t>个及以上资格；</w:t>
            </w:r>
          </w:p>
          <w:p>
            <w:pPr>
              <w:spacing w:line="240" w:lineRule="atLeast"/>
              <w:rPr>
                <w:rFonts w:ascii="微软雅黑" w:hAnsi="微软雅黑" w:eastAsia="微软雅黑" w:cs="微软雅黑"/>
                <w:color w:val="000000"/>
                <w:szCs w:val="21"/>
              </w:rPr>
            </w:pPr>
            <w:r>
              <w:rPr>
                <w:rFonts w:hint="eastAsia" w:ascii="微软雅黑" w:hAnsi="微软雅黑" w:eastAsia="微软雅黑" w:cs="微软雅黑"/>
                <w:color w:val="000000"/>
                <w:szCs w:val="21"/>
              </w:rPr>
              <w:t>差评审标准：内容有缺失或未提供。</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证明文件：</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1）提供具有以上资格相关证明材料，原件备查。</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评审委员会根据投标文件响应情况分档评分：</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评价为优得10分，评价为良得6分，评价为中得3分，评价为差得0分。</w:t>
            </w:r>
          </w:p>
        </w:tc>
        <w:tc>
          <w:tcPr>
            <w:tcW w:w="1130" w:type="dxa"/>
            <w:noWrap w:val="0"/>
            <w:vAlign w:val="center"/>
          </w:tcPr>
          <w:p>
            <w:pPr>
              <w:spacing w:line="240" w:lineRule="atLeast"/>
              <w:jc w:val="center"/>
              <w:rPr>
                <w:rFonts w:hint="eastAsia" w:ascii="微软雅黑" w:hAnsi="微软雅黑" w:eastAsia="微软雅黑" w:cs="微软雅黑"/>
                <w:szCs w:val="21"/>
                <w:lang w:val="zh-CN"/>
              </w:rPr>
            </w:pPr>
            <w:r>
              <w:rPr>
                <w:rFonts w:hint="eastAsia" w:ascii="微软雅黑" w:hAnsi="微软雅黑" w:eastAsia="微软雅黑" w:cs="微软雅黑"/>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11"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w:t>
            </w:r>
          </w:p>
        </w:tc>
        <w:tc>
          <w:tcPr>
            <w:tcW w:w="1704"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技术服务方案</w:t>
            </w:r>
          </w:p>
        </w:tc>
        <w:tc>
          <w:tcPr>
            <w:tcW w:w="609"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w:t>
            </w:r>
          </w:p>
        </w:tc>
        <w:tc>
          <w:tcPr>
            <w:tcW w:w="5211" w:type="dxa"/>
            <w:noWrap w:val="0"/>
            <w:vAlign w:val="top"/>
          </w:tcPr>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依据制定的安全服务技术方案中整体符合可行性、可靠性、可操作性、严谨性、合规性、科学性的并针对项目的服务要求，是否完全提供解决方案的。 </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按照投标文件响应情况进行比较，分档评分：</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优评审标准：内容完整准确详细，思路清晰，切合实际情况，服务商并具备舆情服务；</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良评审标准：内容较为完整准确详细，思路较为清晰，符合实际情况；</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中评审标准：内容基本完整准确；</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差评审标准：内容有缺失或未提供。</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评审委员会根据投标文件响应情况分档评分：</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评价为优得8分，评价为良得5分，评价为中得3分，评价为差得0分。</w:t>
            </w:r>
          </w:p>
        </w:tc>
        <w:tc>
          <w:tcPr>
            <w:tcW w:w="1130" w:type="dxa"/>
            <w:noWrap w:val="0"/>
            <w:vAlign w:val="center"/>
          </w:tcPr>
          <w:p>
            <w:pPr>
              <w:wordWrap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611" w:type="dxa"/>
            <w:noWrap w:val="0"/>
            <w:vAlign w:val="center"/>
          </w:tcPr>
          <w:p>
            <w:pPr>
              <w:spacing w:line="240" w:lineRule="atLeast"/>
              <w:jc w:val="center"/>
              <w:rPr>
                <w:rFonts w:hint="eastAsia" w:ascii="微软雅黑" w:hAnsi="微软雅黑" w:eastAsia="微软雅黑" w:cs="微软雅黑"/>
                <w:bCs/>
                <w:color w:val="000000"/>
                <w:szCs w:val="21"/>
              </w:rPr>
            </w:pPr>
            <w:r>
              <w:rPr>
                <w:rFonts w:hint="eastAsia" w:ascii="微软雅黑" w:hAnsi="微软雅黑" w:eastAsia="微软雅黑" w:cs="微软雅黑"/>
                <w:bCs/>
                <w:color w:val="000000"/>
                <w:szCs w:val="21"/>
              </w:rPr>
              <w:t>4</w:t>
            </w:r>
          </w:p>
        </w:tc>
        <w:tc>
          <w:tcPr>
            <w:tcW w:w="1704"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bCs/>
                <w:color w:val="000000"/>
                <w:szCs w:val="21"/>
              </w:rPr>
              <w:t>服务便捷性</w:t>
            </w:r>
          </w:p>
        </w:tc>
        <w:tc>
          <w:tcPr>
            <w:tcW w:w="609"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w:t>
            </w:r>
          </w:p>
        </w:tc>
        <w:tc>
          <w:tcPr>
            <w:tcW w:w="5211" w:type="dxa"/>
            <w:noWrap w:val="0"/>
            <w:vAlign w:val="center"/>
          </w:tcPr>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深圳供应商或非深圳供应商但</w:t>
            </w:r>
            <w:r>
              <w:rPr>
                <w:rFonts w:hint="eastAsia" w:ascii="微软雅黑" w:hAnsi="微软雅黑" w:eastAsia="微软雅黑" w:cs="微软雅黑"/>
                <w:color w:val="000000"/>
                <w:szCs w:val="21"/>
                <w:lang w:val="en-US" w:eastAsia="zh-CN"/>
              </w:rPr>
              <w:t>承诺中标后</w:t>
            </w:r>
            <w:r>
              <w:rPr>
                <w:rFonts w:hint="eastAsia" w:ascii="微软雅黑" w:hAnsi="微软雅黑" w:eastAsia="微软雅黑" w:cs="微软雅黑"/>
                <w:color w:val="000000"/>
                <w:szCs w:val="21"/>
              </w:rPr>
              <w:t>在深圳</w:t>
            </w:r>
            <w:r>
              <w:rPr>
                <w:rFonts w:hint="eastAsia" w:ascii="微软雅黑" w:hAnsi="微软雅黑" w:eastAsia="微软雅黑" w:cs="微软雅黑"/>
                <w:color w:val="000000"/>
                <w:szCs w:val="21"/>
                <w:lang w:val="en-US" w:eastAsia="zh-CN"/>
              </w:rPr>
              <w:t>设服务点</w:t>
            </w:r>
            <w:r>
              <w:rPr>
                <w:rFonts w:hint="eastAsia" w:ascii="微软雅黑" w:hAnsi="微软雅黑" w:eastAsia="微软雅黑" w:cs="微软雅黑"/>
                <w:color w:val="000000"/>
                <w:szCs w:val="21"/>
              </w:rPr>
              <w:t>的得5分；其他情况不得分。</w:t>
            </w:r>
          </w:p>
          <w:p>
            <w:pPr>
              <w:spacing w:line="240" w:lineRule="atLeast"/>
              <w:rPr>
                <w:rFonts w:hint="eastAsia" w:ascii="微软雅黑" w:hAnsi="微软雅黑" w:eastAsia="微软雅黑" w:cs="微软雅黑"/>
                <w:b/>
                <w:snapToGrid w:val="0"/>
                <w:color w:val="000000"/>
                <w:szCs w:val="21"/>
              </w:rPr>
            </w:pPr>
            <w:r>
              <w:rPr>
                <w:rFonts w:hint="eastAsia" w:ascii="微软雅黑" w:hAnsi="微软雅黑" w:eastAsia="微软雅黑" w:cs="微软雅黑"/>
                <w:color w:val="000000"/>
                <w:szCs w:val="21"/>
              </w:rPr>
              <w:t>提供营业执照或房屋租赁合同</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color w:val="000000"/>
                <w:szCs w:val="21"/>
                <w:lang w:val="en-US" w:eastAsia="zh-CN"/>
              </w:rPr>
              <w:t>或</w:t>
            </w:r>
            <w:r>
              <w:rPr>
                <w:rFonts w:hint="eastAsia" w:ascii="微软雅黑" w:hAnsi="微软雅黑" w:eastAsia="微软雅黑" w:cs="微软雅黑"/>
                <w:color w:val="000000"/>
                <w:szCs w:val="21"/>
              </w:rPr>
              <w:t>产权证明</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color w:val="000000"/>
                <w:szCs w:val="21"/>
                <w:lang w:val="en-US" w:eastAsia="zh-CN"/>
              </w:rPr>
              <w:t>或承诺函</w:t>
            </w:r>
            <w:r>
              <w:rPr>
                <w:rFonts w:hint="eastAsia" w:ascii="微软雅黑" w:hAnsi="微软雅黑" w:eastAsia="微软雅黑" w:cs="微软雅黑"/>
                <w:color w:val="000000"/>
                <w:szCs w:val="21"/>
              </w:rPr>
              <w:t>等相关证明材料复印件或扫描件加盖投标人公章，原件备查，未提供的不得分。</w:t>
            </w:r>
          </w:p>
        </w:tc>
        <w:tc>
          <w:tcPr>
            <w:tcW w:w="1130" w:type="dxa"/>
            <w:noWrap w:val="0"/>
            <w:vAlign w:val="center"/>
          </w:tcPr>
          <w:p>
            <w:pPr>
              <w:spacing w:line="240" w:lineRule="atLeast"/>
              <w:jc w:val="center"/>
              <w:rPr>
                <w:rFonts w:hint="eastAsia" w:ascii="微软雅黑" w:hAnsi="微软雅黑" w:eastAsia="微软雅黑" w:cs="微软雅黑"/>
                <w:szCs w:val="21"/>
                <w:lang w:val="zh-CN"/>
              </w:rPr>
            </w:pPr>
            <w:r>
              <w:rPr>
                <w:rFonts w:hint="eastAsia" w:ascii="微软雅黑" w:hAnsi="微软雅黑" w:eastAsia="微软雅黑" w:cs="微软雅黑"/>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611" w:type="dxa"/>
            <w:noWrap w:val="0"/>
            <w:vAlign w:val="center"/>
          </w:tcPr>
          <w:p>
            <w:pPr>
              <w:spacing w:line="240" w:lineRule="atLeast"/>
              <w:jc w:val="center"/>
              <w:rPr>
                <w:rFonts w:hint="eastAsia" w:ascii="微软雅黑" w:hAnsi="微软雅黑" w:eastAsia="微软雅黑" w:cs="微软雅黑"/>
                <w:bCs/>
                <w:color w:val="000000"/>
                <w:szCs w:val="21"/>
              </w:rPr>
            </w:pPr>
            <w:r>
              <w:rPr>
                <w:rFonts w:hint="eastAsia" w:ascii="微软雅黑" w:hAnsi="微软雅黑" w:eastAsia="微软雅黑" w:cs="微软雅黑"/>
                <w:bCs/>
                <w:color w:val="000000"/>
                <w:szCs w:val="21"/>
              </w:rPr>
              <w:t>5</w:t>
            </w:r>
          </w:p>
        </w:tc>
        <w:tc>
          <w:tcPr>
            <w:tcW w:w="1704" w:type="dxa"/>
            <w:noWrap w:val="0"/>
            <w:vAlign w:val="center"/>
          </w:tcPr>
          <w:p>
            <w:pPr>
              <w:spacing w:line="240" w:lineRule="atLeast"/>
              <w:jc w:val="center"/>
              <w:rPr>
                <w:rFonts w:hint="eastAsia" w:ascii="微软雅黑" w:hAnsi="微软雅黑" w:eastAsia="微软雅黑" w:cs="微软雅黑"/>
                <w:bCs/>
                <w:color w:val="000000"/>
                <w:szCs w:val="21"/>
              </w:rPr>
            </w:pPr>
            <w:r>
              <w:rPr>
                <w:rFonts w:hint="eastAsia" w:ascii="微软雅黑" w:hAnsi="微软雅黑" w:eastAsia="微软雅黑" w:cs="微软雅黑"/>
                <w:color w:val="000000"/>
                <w:szCs w:val="21"/>
              </w:rPr>
              <w:t>售后服务情况</w:t>
            </w:r>
          </w:p>
        </w:tc>
        <w:tc>
          <w:tcPr>
            <w:tcW w:w="609" w:type="dxa"/>
            <w:noWrap w:val="0"/>
            <w:vAlign w:val="center"/>
          </w:tcPr>
          <w:p>
            <w:pPr>
              <w:spacing w:line="240" w:lineRule="atLeast"/>
              <w:jc w:val="center"/>
              <w:rPr>
                <w:rFonts w:hint="eastAsia" w:ascii="微软雅黑" w:hAnsi="微软雅黑" w:eastAsia="微软雅黑" w:cs="微软雅黑"/>
                <w:color w:val="000000"/>
                <w:szCs w:val="21"/>
              </w:rPr>
            </w:pPr>
          </w:p>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w:t>
            </w:r>
          </w:p>
        </w:tc>
        <w:tc>
          <w:tcPr>
            <w:tcW w:w="5211" w:type="dxa"/>
            <w:noWrap w:val="0"/>
            <w:vAlign w:val="center"/>
          </w:tcPr>
          <w:p>
            <w:pPr>
              <w:pStyle w:val="7"/>
              <w:spacing w:line="240" w:lineRule="atLeast"/>
              <w:rPr>
                <w:rFonts w:hint="eastAsia" w:ascii="微软雅黑" w:hAnsi="微软雅黑" w:eastAsia="微软雅黑" w:cs="微软雅黑"/>
                <w:b/>
                <w:snapToGrid w:val="0"/>
                <w:color w:val="000000"/>
                <w:szCs w:val="21"/>
              </w:rPr>
            </w:pPr>
            <w:r>
              <w:rPr>
                <w:rFonts w:hint="eastAsia" w:ascii="微软雅黑" w:hAnsi="微软雅黑" w:eastAsia="微软雅黑" w:cs="微软雅黑"/>
                <w:color w:val="000000"/>
                <w:kern w:val="2"/>
                <w:sz w:val="21"/>
                <w:szCs w:val="21"/>
                <w:lang w:val="en-US"/>
              </w:rPr>
              <w:t>有售后服务计划，并且服务承诺全面、周到，保障措施具体、合理可</w:t>
            </w:r>
            <w:r>
              <w:rPr>
                <w:rFonts w:hint="eastAsia" w:ascii="微软雅黑" w:hAnsi="微软雅黑" w:eastAsia="微软雅黑" w:cs="微软雅黑"/>
                <w:color w:val="000000"/>
                <w:kern w:val="2"/>
                <w:sz w:val="21"/>
                <w:szCs w:val="21"/>
                <w:lang w:val="en-US" w:eastAsia="zh-CN" w:bidi="ar-SA"/>
              </w:rPr>
              <w:t>行。提供售后服务承诺函得5分，未提供不得分。</w:t>
            </w:r>
          </w:p>
        </w:tc>
        <w:tc>
          <w:tcPr>
            <w:tcW w:w="1130" w:type="dxa"/>
            <w:noWrap w:val="0"/>
            <w:vAlign w:val="center"/>
          </w:tcPr>
          <w:p>
            <w:pPr>
              <w:spacing w:line="240" w:lineRule="atLeast"/>
              <w:jc w:val="center"/>
              <w:rPr>
                <w:rFonts w:hint="eastAsia" w:ascii="微软雅黑" w:hAnsi="微软雅黑" w:eastAsia="微软雅黑" w:cs="微软雅黑"/>
                <w:szCs w:val="21"/>
                <w:lang w:val="zh-CN"/>
              </w:rPr>
            </w:pPr>
            <w:r>
              <w:rPr>
                <w:rFonts w:hint="eastAsia" w:ascii="微软雅黑" w:hAnsi="微软雅黑" w:eastAsia="微软雅黑" w:cs="微软雅黑"/>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135" w:type="dxa"/>
            <w:gridSpan w:val="4"/>
            <w:noWrap w:val="0"/>
            <w:vAlign w:val="center"/>
          </w:tcPr>
          <w:p>
            <w:pPr>
              <w:autoSpaceDE w:val="0"/>
              <w:autoSpaceDN w:val="0"/>
              <w:adjustRightInd w:val="0"/>
              <w:spacing w:line="240" w:lineRule="atLeast"/>
              <w:jc w:val="center"/>
              <w:rPr>
                <w:rFonts w:hint="eastAsia" w:ascii="微软雅黑" w:hAnsi="微软雅黑" w:eastAsia="微软雅黑" w:cs="微软雅黑"/>
                <w:b/>
                <w:color w:val="000000"/>
                <w:szCs w:val="21"/>
                <w:lang w:val="zh-CN"/>
              </w:rPr>
            </w:pPr>
            <w:r>
              <w:rPr>
                <w:rFonts w:hint="eastAsia" w:ascii="微软雅黑" w:hAnsi="微软雅黑" w:eastAsia="微软雅黑" w:cs="微软雅黑"/>
                <w:b/>
                <w:color w:val="000000"/>
                <w:szCs w:val="21"/>
                <w:lang w:val="zh-CN"/>
              </w:rPr>
              <w:t>三、</w:t>
            </w:r>
            <w:r>
              <w:rPr>
                <w:rFonts w:hint="eastAsia" w:ascii="微软雅黑" w:hAnsi="微软雅黑" w:eastAsia="微软雅黑" w:cs="微软雅黑"/>
                <w:b/>
                <w:color w:val="000000"/>
                <w:szCs w:val="21"/>
                <w:lang w:val="en-US" w:eastAsia="zh-CN"/>
              </w:rPr>
              <w:t>综合实力</w:t>
            </w:r>
            <w:r>
              <w:rPr>
                <w:rFonts w:hint="eastAsia" w:ascii="微软雅黑" w:hAnsi="微软雅黑" w:eastAsia="微软雅黑" w:cs="微软雅黑"/>
                <w:b/>
                <w:color w:val="000000"/>
                <w:szCs w:val="21"/>
                <w:lang w:val="zh-CN"/>
              </w:rPr>
              <w:t>部分</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rPr>
              <w:t>3</w:t>
            </w:r>
            <w:r>
              <w:rPr>
                <w:rFonts w:hint="eastAsia" w:ascii="微软雅黑" w:hAnsi="微软雅黑" w:eastAsia="微软雅黑" w:cs="微软雅黑"/>
                <w:szCs w:val="21"/>
                <w:lang w:val="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611" w:type="dxa"/>
            <w:noWrap w:val="0"/>
            <w:vAlign w:val="center"/>
          </w:tcPr>
          <w:p>
            <w:pPr>
              <w:autoSpaceDE w:val="0"/>
              <w:autoSpaceDN w:val="0"/>
              <w:adjustRightInd w:val="0"/>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zh-CN"/>
              </w:rPr>
              <w:t>序号</w:t>
            </w:r>
          </w:p>
        </w:tc>
        <w:tc>
          <w:tcPr>
            <w:tcW w:w="1704" w:type="dxa"/>
            <w:noWrap w:val="0"/>
            <w:vAlign w:val="center"/>
          </w:tcPr>
          <w:p>
            <w:pPr>
              <w:autoSpaceDE w:val="0"/>
              <w:autoSpaceDN w:val="0"/>
              <w:adjustRightInd w:val="0"/>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zh-CN"/>
              </w:rPr>
              <w:t>内容</w:t>
            </w:r>
          </w:p>
        </w:tc>
        <w:tc>
          <w:tcPr>
            <w:tcW w:w="609" w:type="dxa"/>
            <w:noWrap w:val="0"/>
            <w:vAlign w:val="center"/>
          </w:tcPr>
          <w:p>
            <w:pPr>
              <w:autoSpaceDE w:val="0"/>
              <w:autoSpaceDN w:val="0"/>
              <w:adjustRightInd w:val="0"/>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zh-CN"/>
              </w:rPr>
              <w:t>权重</w:t>
            </w:r>
          </w:p>
        </w:tc>
        <w:tc>
          <w:tcPr>
            <w:tcW w:w="5211" w:type="dxa"/>
            <w:noWrap w:val="0"/>
            <w:vAlign w:val="center"/>
          </w:tcPr>
          <w:p>
            <w:pPr>
              <w:autoSpaceDE w:val="0"/>
              <w:autoSpaceDN w:val="0"/>
              <w:adjustRightInd w:val="0"/>
              <w:spacing w:line="240" w:lineRule="atLeast"/>
              <w:jc w:val="center"/>
              <w:rPr>
                <w:rFonts w:hint="eastAsia" w:ascii="微软雅黑" w:hAnsi="微软雅黑" w:eastAsia="微软雅黑" w:cs="微软雅黑"/>
                <w:color w:val="000000"/>
                <w:szCs w:val="21"/>
                <w:lang w:val="zh-CN"/>
              </w:rPr>
            </w:pPr>
            <w:r>
              <w:rPr>
                <w:rFonts w:hint="eastAsia" w:ascii="微软雅黑" w:hAnsi="微软雅黑" w:eastAsia="微软雅黑" w:cs="微软雅黑"/>
                <w:color w:val="000000"/>
                <w:szCs w:val="21"/>
                <w:lang w:val="zh-CN"/>
              </w:rPr>
              <w:t>评分规则</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lang w:val="zh-CN"/>
              </w:rPr>
            </w:pPr>
            <w:r>
              <w:rPr>
                <w:rFonts w:hint="eastAsia" w:ascii="微软雅黑" w:hAnsi="微软雅黑" w:eastAsia="微软雅黑" w:cs="微软雅黑"/>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611" w:type="dxa"/>
            <w:noWrap w:val="0"/>
            <w:vAlign w:val="center"/>
          </w:tcPr>
          <w:p>
            <w:pPr>
              <w:spacing w:line="240" w:lineRule="atLeast"/>
              <w:jc w:val="center"/>
              <w:rPr>
                <w:rFonts w:hint="eastAsia" w:ascii="微软雅黑" w:hAnsi="微软雅黑" w:eastAsia="微软雅黑" w:cs="微软雅黑"/>
                <w:bCs/>
                <w:color w:val="000000"/>
                <w:szCs w:val="21"/>
              </w:rPr>
            </w:pPr>
            <w:r>
              <w:rPr>
                <w:rFonts w:hint="eastAsia" w:ascii="微软雅黑" w:hAnsi="微软雅黑" w:eastAsia="微软雅黑" w:cs="微软雅黑"/>
                <w:bCs/>
                <w:color w:val="000000"/>
                <w:szCs w:val="21"/>
              </w:rPr>
              <w:t>1</w:t>
            </w:r>
          </w:p>
        </w:tc>
        <w:tc>
          <w:tcPr>
            <w:tcW w:w="1704"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服务商情况</w:t>
            </w:r>
          </w:p>
        </w:tc>
        <w:tc>
          <w:tcPr>
            <w:tcW w:w="609"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16</w:t>
            </w:r>
          </w:p>
        </w:tc>
        <w:tc>
          <w:tcPr>
            <w:tcW w:w="5211" w:type="dxa"/>
            <w:noWrap w:val="0"/>
            <w:vAlign w:val="center"/>
          </w:tcPr>
          <w:p>
            <w:pPr>
              <w:widowControl/>
              <w:rPr>
                <w:rFonts w:ascii="微软雅黑" w:hAnsi="微软雅黑" w:eastAsia="微软雅黑" w:cs="微软雅黑"/>
                <w:color w:val="000000"/>
                <w:szCs w:val="21"/>
              </w:rPr>
            </w:pPr>
            <w:bookmarkStart w:id="0" w:name="OLE_LINK1"/>
            <w:r>
              <w:rPr>
                <w:rFonts w:hint="eastAsia" w:ascii="微软雅黑" w:hAnsi="微软雅黑" w:eastAsia="微软雅黑" w:cs="微软雅黑"/>
                <w:color w:val="000000"/>
                <w:szCs w:val="21"/>
              </w:rPr>
              <w:t>（一）评分内容：</w:t>
            </w:r>
          </w:p>
          <w:bookmarkEnd w:id="0"/>
          <w:p>
            <w:pPr>
              <w:spacing w:line="240" w:lineRule="atLeast"/>
              <w:rPr>
                <w:rFonts w:ascii="微软雅黑" w:hAnsi="微软雅黑" w:eastAsia="微软雅黑" w:cs="微软雅黑"/>
                <w:color w:val="000000"/>
                <w:szCs w:val="21"/>
              </w:rPr>
            </w:pPr>
            <w:r>
              <w:rPr>
                <w:rFonts w:ascii="微软雅黑" w:hAnsi="微软雅黑" w:eastAsia="微软雅黑" w:cs="微软雅黑"/>
                <w:color w:val="000000"/>
                <w:szCs w:val="21"/>
              </w:rPr>
              <w:t>1</w:t>
            </w:r>
            <w:r>
              <w:rPr>
                <w:rFonts w:hint="eastAsia" w:ascii="微软雅黑" w:hAnsi="微软雅黑" w:eastAsia="微软雅黑" w:cs="微软雅黑"/>
                <w:color w:val="000000"/>
                <w:szCs w:val="21"/>
              </w:rPr>
              <w:t>）为满足项目中所有环节执行的合法合规性，服务商需具备互联网信息服务相关证书，包含（信息网络传播视听节目许可证、互联网新闻信息服务许可证</w:t>
            </w:r>
            <w:r>
              <w:rPr>
                <w:rFonts w:ascii="微软雅黑" w:hAnsi="微软雅黑" w:eastAsia="微软雅黑" w:cs="微软雅黑"/>
                <w:color w:val="000000"/>
                <w:szCs w:val="21"/>
              </w:rPr>
              <w:t> </w:t>
            </w:r>
            <w:r>
              <w:rPr>
                <w:rFonts w:hint="eastAsia" w:ascii="微软雅黑" w:hAnsi="微软雅黑" w:eastAsia="微软雅黑" w:cs="微软雅黑"/>
                <w:color w:val="000000"/>
                <w:szCs w:val="21"/>
              </w:rPr>
              <w:t>、网络出版服务许可证、网络文化经营许可证、广播电视节目制作经营许可证）每个得</w:t>
            </w:r>
            <w:r>
              <w:rPr>
                <w:rFonts w:ascii="微软雅黑" w:hAnsi="微软雅黑" w:eastAsia="微软雅黑" w:cs="微软雅黑"/>
                <w:color w:val="000000"/>
                <w:szCs w:val="21"/>
              </w:rPr>
              <w:t>2</w:t>
            </w:r>
            <w:r>
              <w:rPr>
                <w:rFonts w:hint="eastAsia" w:ascii="微软雅黑" w:hAnsi="微软雅黑" w:eastAsia="微软雅黑" w:cs="微软雅黑"/>
                <w:color w:val="000000"/>
                <w:szCs w:val="21"/>
              </w:rPr>
              <w:t>分，最高8分。</w:t>
            </w:r>
          </w:p>
          <w:p>
            <w:pPr>
              <w:spacing w:line="240" w:lineRule="atLeast"/>
              <w:rPr>
                <w:rFonts w:hint="eastAsia" w:ascii="微软雅黑" w:hAnsi="微软雅黑" w:eastAsia="微软雅黑" w:cs="微软雅黑"/>
                <w:color w:val="000000"/>
                <w:szCs w:val="21"/>
              </w:rPr>
            </w:pPr>
            <w:r>
              <w:rPr>
                <w:rFonts w:ascii="微软雅黑" w:hAnsi="微软雅黑" w:eastAsia="微软雅黑" w:cs="微软雅黑"/>
                <w:color w:val="000000"/>
                <w:szCs w:val="21"/>
              </w:rPr>
              <w:t>2</w:t>
            </w:r>
            <w:r>
              <w:rPr>
                <w:rFonts w:hint="eastAsia" w:ascii="微软雅黑" w:hAnsi="微软雅黑" w:eastAsia="微软雅黑" w:cs="微软雅黑"/>
                <w:color w:val="000000"/>
                <w:szCs w:val="21"/>
              </w:rPr>
              <w:t>）服务商具有信息化建设、媒体传播及奖项情况相关证书。每个得2分，最高8分。</w:t>
            </w:r>
          </w:p>
          <w:p>
            <w:pPr>
              <w:widowControl/>
              <w:rPr>
                <w:snapToGrid w:val="0"/>
                <w:color w:val="000000"/>
                <w:sz w:val="18"/>
              </w:rPr>
            </w:pPr>
            <w:r>
              <w:rPr>
                <w:rFonts w:hint="eastAsia" w:ascii="微软雅黑" w:hAnsi="微软雅黑" w:eastAsia="微软雅黑" w:cs="微软雅黑"/>
                <w:color w:val="000000"/>
                <w:szCs w:val="21"/>
              </w:rPr>
              <w:t>证明文件：</w:t>
            </w:r>
            <w:r>
              <w:rPr>
                <w:snapToGrid w:val="0"/>
                <w:color w:val="000000"/>
                <w:sz w:val="18"/>
              </w:rPr>
              <w:t>.</w:t>
            </w:r>
          </w:p>
          <w:p>
            <w:pPr>
              <w:widowControl/>
              <w:numPr>
                <w:ilvl w:val="0"/>
                <w:numId w:val="1"/>
              </w:numPr>
              <w:rPr>
                <w:rFonts w:ascii="微软雅黑" w:hAnsi="微软雅黑" w:eastAsia="微软雅黑" w:cs="微软雅黑"/>
                <w:color w:val="000000"/>
                <w:szCs w:val="21"/>
              </w:rPr>
            </w:pPr>
            <w:r>
              <w:rPr>
                <w:rFonts w:hint="eastAsia" w:ascii="微软雅黑" w:hAnsi="微软雅黑" w:eastAsia="微软雅黑" w:cs="微软雅黑"/>
                <w:color w:val="000000"/>
                <w:szCs w:val="21"/>
              </w:rPr>
              <w:t>要求供应商提供互联网信息服务相关证书作为得分依据。原件备查。</w:t>
            </w:r>
          </w:p>
          <w:p>
            <w:pPr>
              <w:widowControl/>
              <w:numPr>
                <w:ilvl w:val="0"/>
                <w:numId w:val="1"/>
              </w:num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要求供应商提供信息化建设、媒体传播及奖项情况相关证书扫描文件。原件备查。</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lang w:val="zh-CN"/>
              </w:rPr>
            </w:pPr>
            <w:r>
              <w:rPr>
                <w:rFonts w:hint="eastAsia" w:ascii="微软雅黑" w:hAnsi="微软雅黑" w:eastAsia="微软雅黑" w:cs="微软雅黑"/>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611" w:type="dxa"/>
            <w:noWrap w:val="0"/>
            <w:vAlign w:val="center"/>
          </w:tcPr>
          <w:p>
            <w:pPr>
              <w:spacing w:line="240" w:lineRule="atLeast"/>
              <w:jc w:val="center"/>
              <w:rPr>
                <w:rFonts w:hint="eastAsia" w:ascii="微软雅黑" w:hAnsi="微软雅黑" w:eastAsia="微软雅黑" w:cs="微软雅黑"/>
                <w:bCs/>
                <w:color w:val="000000"/>
                <w:szCs w:val="21"/>
              </w:rPr>
            </w:pPr>
            <w:r>
              <w:rPr>
                <w:rFonts w:hint="eastAsia" w:ascii="微软雅黑" w:hAnsi="微软雅黑" w:eastAsia="微软雅黑" w:cs="微软雅黑"/>
                <w:bCs/>
                <w:color w:val="000000"/>
                <w:szCs w:val="21"/>
              </w:rPr>
              <w:t>2</w:t>
            </w:r>
          </w:p>
        </w:tc>
        <w:tc>
          <w:tcPr>
            <w:tcW w:w="1704"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项目团队成员情况</w:t>
            </w:r>
          </w:p>
        </w:tc>
        <w:tc>
          <w:tcPr>
            <w:tcW w:w="609" w:type="dxa"/>
            <w:noWrap w:val="0"/>
            <w:vAlign w:val="center"/>
          </w:tcPr>
          <w:p>
            <w:pPr>
              <w:spacing w:line="24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16</w:t>
            </w:r>
          </w:p>
        </w:tc>
        <w:tc>
          <w:tcPr>
            <w:tcW w:w="5211" w:type="dxa"/>
            <w:noWrap w:val="0"/>
            <w:vAlign w:val="center"/>
          </w:tcPr>
          <w:p>
            <w:pPr>
              <w:widowControl/>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（一）评分内容：</w:t>
            </w:r>
          </w:p>
          <w:p>
            <w:pPr>
              <w:widowControl/>
              <w:rPr>
                <w:rFonts w:ascii="微软雅黑" w:hAnsi="微软雅黑" w:eastAsia="微软雅黑" w:cs="微软雅黑"/>
                <w:color w:val="000000"/>
                <w:szCs w:val="21"/>
              </w:rPr>
            </w:pPr>
            <w:r>
              <w:rPr>
                <w:rFonts w:hint="eastAsia" w:ascii="微软雅黑" w:hAnsi="微软雅黑" w:eastAsia="微软雅黑" w:cs="微软雅黑"/>
                <w:color w:val="000000"/>
                <w:szCs w:val="21"/>
              </w:rPr>
              <w:t>1）提供团队成员新闻学、美术设计、软件设计、视频剪辑等专业相关证书，提供</w:t>
            </w:r>
            <w:r>
              <w:rPr>
                <w:rFonts w:ascii="微软雅黑" w:hAnsi="微软雅黑" w:eastAsia="微软雅黑" w:cs="微软雅黑"/>
                <w:color w:val="000000"/>
                <w:szCs w:val="21"/>
              </w:rPr>
              <w:t xml:space="preserve"> 4</w:t>
            </w:r>
            <w:r>
              <w:rPr>
                <w:rFonts w:hint="eastAsia" w:ascii="微软雅黑" w:hAnsi="微软雅黑" w:eastAsia="微软雅黑" w:cs="微软雅黑"/>
                <w:color w:val="000000"/>
                <w:szCs w:val="21"/>
              </w:rPr>
              <w:t>人及以上得</w:t>
            </w:r>
            <w:r>
              <w:rPr>
                <w:rFonts w:ascii="微软雅黑" w:hAnsi="微软雅黑" w:eastAsia="微软雅黑" w:cs="微软雅黑"/>
                <w:color w:val="000000"/>
                <w:szCs w:val="21"/>
              </w:rPr>
              <w:t xml:space="preserve"> 8</w:t>
            </w:r>
            <w:r>
              <w:rPr>
                <w:rFonts w:hint="eastAsia" w:ascii="微软雅黑" w:hAnsi="微软雅黑" w:eastAsia="微软雅黑" w:cs="微软雅黑"/>
                <w:color w:val="000000"/>
                <w:szCs w:val="21"/>
              </w:rPr>
              <w:t>分，提供</w:t>
            </w:r>
            <w:r>
              <w:rPr>
                <w:rFonts w:ascii="微软雅黑" w:hAnsi="微软雅黑" w:eastAsia="微软雅黑" w:cs="微软雅黑"/>
                <w:color w:val="000000"/>
                <w:szCs w:val="21"/>
              </w:rPr>
              <w:t xml:space="preserve"> 3 </w:t>
            </w:r>
            <w:r>
              <w:rPr>
                <w:rFonts w:hint="eastAsia" w:ascii="微软雅黑" w:hAnsi="微软雅黑" w:eastAsia="微软雅黑" w:cs="微软雅黑"/>
                <w:color w:val="000000"/>
                <w:szCs w:val="21"/>
              </w:rPr>
              <w:t>人得</w:t>
            </w:r>
            <w:r>
              <w:rPr>
                <w:rFonts w:ascii="微软雅黑" w:hAnsi="微软雅黑" w:eastAsia="微软雅黑" w:cs="微软雅黑"/>
                <w:color w:val="000000"/>
                <w:szCs w:val="21"/>
              </w:rPr>
              <w:t xml:space="preserve">6 </w:t>
            </w:r>
            <w:r>
              <w:rPr>
                <w:rFonts w:hint="eastAsia" w:ascii="微软雅黑" w:hAnsi="微软雅黑" w:eastAsia="微软雅黑" w:cs="微软雅黑"/>
                <w:color w:val="000000"/>
                <w:szCs w:val="21"/>
              </w:rPr>
              <w:t>分，</w:t>
            </w:r>
            <w:r>
              <w:rPr>
                <w:rFonts w:ascii="微软雅黑" w:hAnsi="微软雅黑" w:eastAsia="微软雅黑" w:cs="微软雅黑"/>
                <w:color w:val="000000"/>
                <w:szCs w:val="21"/>
              </w:rPr>
              <w:t xml:space="preserve">1-2 </w:t>
            </w:r>
            <w:r>
              <w:rPr>
                <w:rFonts w:hint="eastAsia" w:ascii="微软雅黑" w:hAnsi="微软雅黑" w:eastAsia="微软雅黑" w:cs="微软雅黑"/>
                <w:color w:val="000000"/>
                <w:szCs w:val="21"/>
              </w:rPr>
              <w:t>人得</w:t>
            </w:r>
            <w:r>
              <w:rPr>
                <w:rFonts w:ascii="微软雅黑" w:hAnsi="微软雅黑" w:eastAsia="微软雅黑" w:cs="微软雅黑"/>
                <w:color w:val="000000"/>
                <w:szCs w:val="21"/>
              </w:rPr>
              <w:t xml:space="preserve"> 4 </w:t>
            </w:r>
            <w:r>
              <w:rPr>
                <w:rFonts w:hint="eastAsia" w:ascii="微软雅黑" w:hAnsi="微软雅黑" w:eastAsia="微软雅黑" w:cs="微软雅黑"/>
                <w:color w:val="000000"/>
                <w:szCs w:val="21"/>
              </w:rPr>
              <w:t>分，没有不得分，最高不超过</w:t>
            </w:r>
            <w:r>
              <w:rPr>
                <w:rFonts w:ascii="微软雅黑" w:hAnsi="微软雅黑" w:eastAsia="微软雅黑" w:cs="微软雅黑"/>
                <w:color w:val="000000"/>
                <w:szCs w:val="21"/>
              </w:rPr>
              <w:t>8</w:t>
            </w:r>
            <w:r>
              <w:rPr>
                <w:rFonts w:hint="eastAsia" w:ascii="微软雅黑" w:hAnsi="微软雅黑" w:eastAsia="微软雅黑" w:cs="微软雅黑"/>
                <w:color w:val="000000"/>
                <w:szCs w:val="21"/>
              </w:rPr>
              <w:t>分。</w:t>
            </w:r>
          </w:p>
          <w:p>
            <w:pPr>
              <w:widowControl/>
              <w:rPr>
                <w:rFonts w:ascii="微软雅黑" w:hAnsi="微软雅黑" w:eastAsia="微软雅黑" w:cs="微软雅黑"/>
                <w:color w:val="000000"/>
                <w:szCs w:val="21"/>
              </w:rPr>
            </w:pPr>
            <w:r>
              <w:rPr>
                <w:rFonts w:ascii="微软雅黑" w:hAnsi="微软雅黑" w:eastAsia="微软雅黑" w:cs="微软雅黑"/>
                <w:color w:val="000000"/>
                <w:szCs w:val="21"/>
              </w:rPr>
              <w:t>2</w:t>
            </w:r>
            <w:r>
              <w:rPr>
                <w:rFonts w:hint="eastAsia" w:ascii="微软雅黑" w:hAnsi="微软雅黑" w:eastAsia="微软雅黑" w:cs="微软雅黑"/>
                <w:color w:val="000000"/>
                <w:szCs w:val="21"/>
              </w:rPr>
              <w:t>）本项目负责人具备（新闻、设计、影视）剪辑等相关专业、全日制本科及以上学历、从业满</w:t>
            </w:r>
            <w:r>
              <w:rPr>
                <w:rFonts w:ascii="微软雅黑" w:hAnsi="微软雅黑" w:eastAsia="微软雅黑" w:cs="微软雅黑"/>
                <w:color w:val="000000"/>
                <w:szCs w:val="21"/>
              </w:rPr>
              <w:t>5</w:t>
            </w:r>
            <w:r>
              <w:rPr>
                <w:rFonts w:hint="eastAsia" w:ascii="微软雅黑" w:hAnsi="微软雅黑" w:eastAsia="微软雅黑" w:cs="微软雅黑"/>
                <w:color w:val="000000"/>
                <w:szCs w:val="21"/>
              </w:rPr>
              <w:t>年、同时具有相关职称证书，全部具备得</w:t>
            </w:r>
            <w:r>
              <w:rPr>
                <w:rFonts w:ascii="微软雅黑" w:hAnsi="微软雅黑" w:eastAsia="微软雅黑" w:cs="微软雅黑"/>
                <w:color w:val="000000"/>
                <w:szCs w:val="21"/>
              </w:rPr>
              <w:t>8</w:t>
            </w:r>
            <w:r>
              <w:rPr>
                <w:rFonts w:hint="eastAsia" w:ascii="微软雅黑" w:hAnsi="微软雅黑" w:eastAsia="微软雅黑" w:cs="微软雅黑"/>
                <w:color w:val="000000"/>
                <w:szCs w:val="21"/>
              </w:rPr>
              <w:t>分，具备3项得6分，具备2项得4分，否则不得分。</w:t>
            </w:r>
          </w:p>
          <w:p>
            <w:pPr>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证明文件：</w:t>
            </w:r>
          </w:p>
          <w:p>
            <w:pPr>
              <w:widowControl/>
              <w:rPr>
                <w:rFonts w:hint="eastAsia" w:ascii="微软雅黑" w:hAnsi="微软雅黑" w:eastAsia="微软雅黑" w:cs="微软雅黑"/>
                <w:color w:val="000000"/>
                <w:szCs w:val="21"/>
              </w:rPr>
            </w:pPr>
            <w:r>
              <w:rPr>
                <w:rFonts w:ascii="微软雅黑" w:hAnsi="微软雅黑" w:eastAsia="微软雅黑" w:cs="微软雅黑"/>
                <w:color w:val="000000"/>
                <w:szCs w:val="21"/>
              </w:rPr>
              <w:t>1</w:t>
            </w:r>
            <w:r>
              <w:rPr>
                <w:rFonts w:hint="eastAsia" w:ascii="微软雅黑" w:hAnsi="微软雅黑" w:eastAsia="微软雅黑" w:cs="微软雅黑"/>
                <w:color w:val="000000"/>
                <w:szCs w:val="21"/>
              </w:rPr>
              <w:t>）提供能证明项目团队成员具有以上相关证明材料复印件加盖公章，原件备查。</w:t>
            </w:r>
          </w:p>
          <w:p>
            <w:pPr>
              <w:widowControl/>
              <w:rPr>
                <w:rFonts w:hint="eastAsia" w:ascii="微软雅黑" w:hAnsi="微软雅黑" w:eastAsia="微软雅黑" w:cs="微软雅黑"/>
                <w:color w:val="000000"/>
                <w:szCs w:val="21"/>
              </w:rPr>
            </w:pPr>
            <w:r>
              <w:rPr>
                <w:rFonts w:ascii="微软雅黑" w:hAnsi="微软雅黑" w:eastAsia="微软雅黑" w:cs="微软雅黑"/>
                <w:color w:val="000000"/>
                <w:szCs w:val="21"/>
              </w:rPr>
              <w:t>2</w:t>
            </w:r>
            <w:r>
              <w:rPr>
                <w:rFonts w:hint="eastAsia" w:ascii="微软雅黑" w:hAnsi="微软雅黑" w:eastAsia="微软雅黑" w:cs="微软雅黑"/>
                <w:color w:val="000000"/>
                <w:szCs w:val="21"/>
              </w:rPr>
              <w:t>）要求提供项目负责人学历证明文件（含专业名称及颁发时间）、采编资格证作为得分依据。</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lang w:val="zh-CN"/>
              </w:rPr>
            </w:pPr>
            <w:r>
              <w:rPr>
                <w:rFonts w:hint="eastAsia" w:ascii="微软雅黑" w:hAnsi="微软雅黑" w:eastAsia="微软雅黑" w:cs="微软雅黑"/>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8135" w:type="dxa"/>
            <w:gridSpan w:val="4"/>
            <w:noWrap w:val="0"/>
            <w:vAlign w:val="center"/>
          </w:tcPr>
          <w:p>
            <w:pPr>
              <w:autoSpaceDE w:val="0"/>
              <w:autoSpaceDN w:val="0"/>
              <w:adjustRightInd w:val="0"/>
              <w:spacing w:line="240" w:lineRule="atLeast"/>
              <w:jc w:val="center"/>
              <w:rPr>
                <w:rFonts w:hint="eastAsia" w:ascii="微软雅黑" w:hAnsi="微软雅黑" w:eastAsia="微软雅黑" w:cs="微软雅黑"/>
                <w:b/>
                <w:snapToGrid w:val="0"/>
                <w:color w:val="000000"/>
                <w:szCs w:val="21"/>
              </w:rPr>
            </w:pPr>
            <w:r>
              <w:rPr>
                <w:rFonts w:hint="eastAsia" w:ascii="微软雅黑" w:hAnsi="微软雅黑" w:eastAsia="微软雅黑" w:cs="微软雅黑"/>
                <w:b/>
                <w:color w:val="000000"/>
                <w:szCs w:val="21"/>
                <w:lang w:val="zh-CN"/>
              </w:rPr>
              <w:t>四、政策部分</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611" w:type="dxa"/>
            <w:noWrap w:val="0"/>
            <w:vAlign w:val="center"/>
          </w:tcPr>
          <w:p>
            <w:pPr>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rPr>
              <w:t>1</w:t>
            </w:r>
          </w:p>
        </w:tc>
        <w:tc>
          <w:tcPr>
            <w:tcW w:w="1704" w:type="dxa"/>
            <w:noWrap w:val="0"/>
            <w:vAlign w:val="center"/>
          </w:tcPr>
          <w:p>
            <w:pPr>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rPr>
              <w:t>诚信情况</w:t>
            </w:r>
          </w:p>
        </w:tc>
        <w:tc>
          <w:tcPr>
            <w:tcW w:w="609" w:type="dxa"/>
            <w:noWrap w:val="0"/>
            <w:vAlign w:val="center"/>
          </w:tcPr>
          <w:p>
            <w:pPr>
              <w:spacing w:line="240" w:lineRule="atLeast"/>
              <w:jc w:val="center"/>
              <w:rPr>
                <w:rFonts w:hint="eastAsia" w:ascii="微软雅黑" w:hAnsi="微软雅黑" w:eastAsia="微软雅黑" w:cs="微软雅黑"/>
                <w:szCs w:val="21"/>
              </w:rPr>
            </w:pPr>
            <w:r>
              <w:rPr>
                <w:rFonts w:hint="eastAsia" w:ascii="微软雅黑" w:hAnsi="微软雅黑" w:eastAsia="微软雅黑" w:cs="微软雅黑"/>
                <w:szCs w:val="21"/>
              </w:rPr>
              <w:t>5</w:t>
            </w:r>
          </w:p>
        </w:tc>
        <w:tc>
          <w:tcPr>
            <w:tcW w:w="5211" w:type="dxa"/>
            <w:noWrap w:val="0"/>
            <w:vAlign w:val="top"/>
          </w:tcPr>
          <w:p>
            <w:pPr>
              <w:spacing w:line="240" w:lineRule="atLeast"/>
              <w:rPr>
                <w:rFonts w:hint="eastAsia" w:ascii="微软雅黑" w:hAnsi="微软雅黑" w:eastAsia="微软雅黑" w:cs="微软雅黑"/>
                <w:b/>
                <w:szCs w:val="21"/>
              </w:rPr>
            </w:pPr>
            <w:r>
              <w:rPr>
                <w:rFonts w:hint="eastAsia" w:ascii="微软雅黑" w:hAnsi="微软雅黑" w:eastAsia="微软雅黑" w:cs="微软雅黑"/>
                <w:b/>
                <w:szCs w:val="21"/>
              </w:rPr>
              <w:t>评审标准：</w:t>
            </w:r>
          </w:p>
          <w:p>
            <w:pPr>
              <w:spacing w:line="240" w:lineRule="atLeast"/>
              <w:rPr>
                <w:rFonts w:hint="eastAsia" w:ascii="微软雅黑" w:hAnsi="微软雅黑" w:eastAsia="微软雅黑" w:cs="微软雅黑"/>
                <w:snapToGrid w:val="0"/>
                <w:szCs w:val="21"/>
              </w:rPr>
            </w:pPr>
            <w:r>
              <w:rPr>
                <w:rFonts w:hint="eastAsia" w:ascii="微软雅黑" w:hAnsi="微软雅黑" w:eastAsia="微软雅黑" w:cs="微软雅黑"/>
                <w:szCs w:val="21"/>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w:t>
            </w:r>
          </w:p>
        </w:tc>
        <w:tc>
          <w:tcPr>
            <w:tcW w:w="1130" w:type="dxa"/>
            <w:noWrap w:val="0"/>
            <w:vAlign w:val="center"/>
          </w:tcPr>
          <w:p>
            <w:pPr>
              <w:autoSpaceDE w:val="0"/>
              <w:autoSpaceDN w:val="0"/>
              <w:adjustRightInd w:val="0"/>
              <w:spacing w:line="240" w:lineRule="atLeast"/>
              <w:jc w:val="center"/>
              <w:rPr>
                <w:rFonts w:hint="eastAsia" w:ascii="微软雅黑" w:hAnsi="微软雅黑" w:eastAsia="微软雅黑" w:cs="微软雅黑"/>
                <w:szCs w:val="21"/>
                <w:lang w:val="zh-CN"/>
              </w:rPr>
            </w:pPr>
            <w:r>
              <w:rPr>
                <w:rFonts w:hint="eastAsia" w:ascii="微软雅黑" w:hAnsi="微软雅黑" w:eastAsia="微软雅黑" w:cs="微软雅黑"/>
                <w:szCs w:val="21"/>
                <w:lang w:val="zh-CN"/>
              </w:rPr>
              <w:t>专家打分</w:t>
            </w:r>
          </w:p>
        </w:tc>
      </w:tr>
    </w:tbl>
    <w:p>
      <w:pPr>
        <w:rPr>
          <w:rFonts w:hint="eastAsia" w:ascii="微软雅黑" w:hAnsi="微软雅黑" w:eastAsia="微软雅黑" w:cs="微软雅黑"/>
          <w:szCs w:val="21"/>
        </w:rPr>
      </w:pPr>
      <w:r>
        <w:rPr>
          <w:rFonts w:hint="eastAsia" w:ascii="微软雅黑" w:hAnsi="微软雅黑" w:eastAsia="微软雅黑" w:cs="微软雅黑"/>
          <w:szCs w:val="21"/>
        </w:rPr>
        <w:t>注：</w:t>
      </w:r>
    </w:p>
    <w:p>
      <w:pPr>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1. 每一项的得分均不能超过该项最高分值。</w:t>
      </w:r>
    </w:p>
    <w:p>
      <w:pPr>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2. 缺项则该项为0分或不合格为0分。</w:t>
      </w:r>
    </w:p>
    <w:p>
      <w:pPr>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3. 价格、技术、商务部分为针对项目具体情况设置项目，累加满分为100分。</w:t>
      </w:r>
    </w:p>
    <w:p>
      <w:pPr>
        <w:ind w:firstLine="420" w:firstLineChars="200"/>
        <w:rPr>
          <w:rFonts w:hint="eastAsia" w:ascii="微软雅黑" w:hAnsi="微软雅黑" w:eastAsia="微软雅黑" w:cs="微软雅黑"/>
          <w:snapToGrid w:val="0"/>
          <w:kern w:val="0"/>
          <w:szCs w:val="21"/>
        </w:rPr>
      </w:pPr>
      <w:r>
        <w:rPr>
          <w:rFonts w:hint="eastAsia" w:ascii="微软雅黑" w:hAnsi="微软雅黑" w:eastAsia="微软雅黑" w:cs="微软雅黑"/>
          <w:szCs w:val="21"/>
        </w:rPr>
        <w:t>4. 综合以上</w:t>
      </w:r>
      <w:r>
        <w:rPr>
          <w:rFonts w:hint="eastAsia" w:ascii="微软雅黑" w:hAnsi="微软雅黑" w:eastAsia="微软雅黑" w:cs="微软雅黑"/>
          <w:snapToGrid w:val="0"/>
          <w:kern w:val="0"/>
          <w:szCs w:val="21"/>
        </w:rPr>
        <w:t>分析比较，评委会将对各投标文件进行书面的量化评定，得分精确到小数点后</w:t>
      </w:r>
      <w:r>
        <w:rPr>
          <w:rFonts w:hint="eastAsia" w:ascii="微软雅黑" w:hAnsi="微软雅黑" w:eastAsia="微软雅黑" w:cs="微软雅黑"/>
          <w:snapToGrid w:val="0"/>
          <w:kern w:val="0"/>
          <w:szCs w:val="21"/>
          <w:lang w:val="en-US" w:eastAsia="zh-CN"/>
        </w:rPr>
        <w:t>两</w:t>
      </w:r>
      <w:r>
        <w:rPr>
          <w:rFonts w:hint="eastAsia" w:ascii="微软雅黑" w:hAnsi="微软雅黑" w:eastAsia="微软雅黑" w:cs="微软雅黑"/>
          <w:snapToGrid w:val="0"/>
          <w:kern w:val="0"/>
          <w:szCs w:val="21"/>
        </w:rPr>
        <w:t>位。</w:t>
      </w:r>
    </w:p>
    <w:p/>
    <w:sectPr>
      <w:pgSz w:w="11906" w:h="16838"/>
      <w:pgMar w:top="2098" w:right="1474" w:bottom="153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E0A"/>
    <w:multiLevelType w:val="multilevel"/>
    <w:tmpl w:val="1C790E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C3C24"/>
    <w:rsid w:val="363921AD"/>
    <w:rsid w:val="4EBF0179"/>
    <w:rsid w:val="7CCA3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spacing w:before="104" w:after="104"/>
      <w:outlineLvl w:val="2"/>
    </w:p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widowControl w:val="0"/>
      <w:spacing w:after="120"/>
      <w:jc w:val="both"/>
    </w:pPr>
    <w:rPr>
      <w:rFonts w:ascii="Calibri" w:hAnsi="Calibri" w:eastAsia="仿宋_GB2312" w:cs="Times New Roman"/>
      <w:spacing w:val="10"/>
      <w:kern w:val="2"/>
      <w:sz w:val="32"/>
      <w:szCs w:val="24"/>
      <w:lang w:val="en-US" w:eastAsia="zh-CN" w:bidi="ar-SA"/>
    </w:rPr>
  </w:style>
  <w:style w:type="paragraph" w:styleId="4">
    <w:name w:val="Normal (Web)"/>
    <w:basedOn w:val="1"/>
    <w:qFormat/>
    <w:uiPriority w:val="0"/>
    <w:pPr>
      <w:spacing w:beforeAutospacing="1" w:afterAutospacing="1"/>
      <w:jc w:val="left"/>
    </w:pPr>
    <w:rPr>
      <w:rFonts w:ascii="Calibri" w:hAnsi="Calibri" w:eastAsia="宋体"/>
      <w:spacing w:val="0"/>
      <w:kern w:val="0"/>
      <w:sz w:val="24"/>
      <w:szCs w:val="30"/>
    </w:rPr>
  </w:style>
  <w:style w:type="paragraph" w:customStyle="1" w:styleId="7">
    <w:name w:val="Ｒ表.51.左"/>
    <w:qFormat/>
    <w:uiPriority w:val="0"/>
    <w:pPr>
      <w:widowControl w:val="0"/>
      <w:ind w:left="63" w:leftChars="30"/>
      <w:jc w:val="both"/>
    </w:pPr>
    <w:rPr>
      <w:rFonts w:ascii="宋体" w:hAnsi="宋体" w:eastAsia="宋体" w:cs="宋体"/>
      <w:sz w:val="24"/>
      <w:szCs w:val="24"/>
      <w:lang w:val="sq-AL"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董克源</cp:lastModifiedBy>
  <dcterms:modified xsi:type="dcterms:W3CDTF">2021-05-05T07:40:31Z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