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spacing w:line="560" w:lineRule="exact"/>
        <w:ind w:firstLine="0" w:firstLineChars="0"/>
        <w:rPr>
          <w:rFonts w:hint="eastAsia" w:asciiTheme="minorEastAsia" w:hAnsiTheme="minorEastAsia" w:eastAsiaTheme="minorEastAsia" w:cstheme="minorEastAsia"/>
          <w:szCs w:val="32"/>
        </w:rPr>
      </w:pPr>
      <w:r>
        <w:rPr>
          <w:rFonts w:hint="eastAsia" w:asciiTheme="minorEastAsia" w:hAnsiTheme="minorEastAsia" w:eastAsiaTheme="minorEastAsia" w:cstheme="minorEastAsia"/>
          <w:szCs w:val="32"/>
        </w:rPr>
        <w:t>附件1</w:t>
      </w:r>
    </w:p>
    <w:p>
      <w:pPr>
        <w:spacing w:line="72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2022年“健康管理师”职业技能培训</w:t>
      </w:r>
    </w:p>
    <w:p>
      <w:pPr>
        <w:spacing w:line="7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综合评分表</w:t>
      </w:r>
    </w:p>
    <w:p>
      <w:pPr>
        <w:spacing w:line="440" w:lineRule="exact"/>
        <w:jc w:val="center"/>
        <w:rPr>
          <w:rFonts w:hint="eastAsia" w:ascii="方正小标宋_GBK" w:hAnsi="方正小标宋_GBK" w:eastAsia="方正小标宋_GBK" w:cs="方正小标宋_GBK"/>
          <w:sz w:val="44"/>
          <w:szCs w:val="44"/>
        </w:rPr>
      </w:pPr>
    </w:p>
    <w:tbl>
      <w:tblPr>
        <w:tblStyle w:val="4"/>
        <w:tblW w:w="10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820"/>
        <w:gridCol w:w="1313"/>
        <w:gridCol w:w="6493"/>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blHeader/>
          <w:jc w:val="center"/>
        </w:trPr>
        <w:tc>
          <w:tcPr>
            <w:tcW w:w="1082"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评分</w:t>
            </w:r>
          </w:p>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因素</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分值</w:t>
            </w:r>
          </w:p>
        </w:tc>
        <w:tc>
          <w:tcPr>
            <w:tcW w:w="1313"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评分</w:t>
            </w:r>
          </w:p>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内容</w:t>
            </w:r>
          </w:p>
        </w:tc>
        <w:tc>
          <w:tcPr>
            <w:tcW w:w="6493"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评分标准</w:t>
            </w:r>
          </w:p>
        </w:tc>
        <w:tc>
          <w:tcPr>
            <w:tcW w:w="72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082"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报价</w:t>
            </w:r>
          </w:p>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部分</w:t>
            </w:r>
          </w:p>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25</w:t>
            </w:r>
            <w:r>
              <w:rPr>
                <w:rFonts w:hint="eastAsia" w:asciiTheme="minorEastAsia" w:hAnsiTheme="minorEastAsia" w:eastAsiaTheme="minorEastAsia" w:cstheme="minorEastAsia"/>
                <w:sz w:val="24"/>
              </w:rPr>
              <w:t>分</w:t>
            </w:r>
          </w:p>
        </w:tc>
        <w:tc>
          <w:tcPr>
            <w:tcW w:w="1313"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报价</w:t>
            </w:r>
          </w:p>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得分</w:t>
            </w:r>
          </w:p>
          <w:p>
            <w:pPr>
              <w:keepNext w:val="0"/>
              <w:keepLines w:val="0"/>
              <w:pageBreakBefore w:val="0"/>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25</w:t>
            </w:r>
            <w:r>
              <w:rPr>
                <w:rFonts w:hint="eastAsia" w:asciiTheme="minorEastAsia" w:hAnsiTheme="minorEastAsia" w:eastAsiaTheme="minorEastAsia" w:cstheme="minorEastAsia"/>
                <w:sz w:val="24"/>
              </w:rPr>
              <w:t>分）</w:t>
            </w:r>
          </w:p>
        </w:tc>
        <w:tc>
          <w:tcPr>
            <w:tcW w:w="6493" w:type="dxa"/>
            <w:noWrap w:val="0"/>
            <w:vAlign w:val="top"/>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报价得分按照低价优先法计算，即满足采购招标需求且方案报价最低的投标人报价为评标基准价，其价格分为满分，其他供应商的价格得分统一按照下列公式计算：报价得分=(评标基准价／方案报价)×</w:t>
            </w:r>
            <w:r>
              <w:rPr>
                <w:rFonts w:hint="eastAsia" w:asciiTheme="minorEastAsia" w:hAnsiTheme="minorEastAsia" w:eastAsiaTheme="minorEastAsia" w:cstheme="minorEastAsia"/>
                <w:sz w:val="24"/>
                <w:lang w:val="en-US" w:eastAsia="zh-CN"/>
              </w:rPr>
              <w:t>25</w:t>
            </w:r>
          </w:p>
        </w:tc>
        <w:tc>
          <w:tcPr>
            <w:tcW w:w="729" w:type="dxa"/>
            <w:noWrap w:val="0"/>
            <w:vAlign w:val="top"/>
          </w:tcPr>
          <w:p>
            <w:pPr>
              <w:keepNext w:val="0"/>
              <w:keepLines w:val="0"/>
              <w:pageBreakBefore w:val="0"/>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2"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技术</w:t>
            </w:r>
          </w:p>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部分</w:t>
            </w:r>
          </w:p>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（B）</w:t>
            </w:r>
          </w:p>
        </w:tc>
        <w:tc>
          <w:tcPr>
            <w:tcW w:w="820"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38</w:t>
            </w:r>
            <w:r>
              <w:rPr>
                <w:rFonts w:hint="eastAsia" w:asciiTheme="minorEastAsia" w:hAnsiTheme="minorEastAsia" w:eastAsiaTheme="minorEastAsia" w:cstheme="minorEastAsia"/>
                <w:sz w:val="24"/>
              </w:rPr>
              <w:t>分</w:t>
            </w:r>
          </w:p>
        </w:tc>
        <w:tc>
          <w:tcPr>
            <w:tcW w:w="1313" w:type="dxa"/>
            <w:noWrap w:val="0"/>
            <w:vAlign w:val="center"/>
          </w:tcPr>
          <w:p>
            <w:pPr>
              <w:keepNext w:val="0"/>
              <w:keepLines w:val="0"/>
              <w:pageBreakBefore w:val="0"/>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B1、</w:t>
            </w:r>
            <w:r>
              <w:rPr>
                <w:rFonts w:hint="eastAsia" w:asciiTheme="minorEastAsia" w:hAnsiTheme="minorEastAsia" w:eastAsiaTheme="minorEastAsia" w:cstheme="minorEastAsia"/>
                <w:sz w:val="24"/>
              </w:rPr>
              <w:t>项目方案得分</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 w:eastAsia="zh-CN"/>
              </w:rPr>
              <w:t>1</w:t>
            </w:r>
            <w:r>
              <w:rPr>
                <w:rFonts w:hint="eastAsia" w:asciiTheme="minorEastAsia" w:hAnsiTheme="minorEastAsia" w:eastAsiaTheme="minorEastAsia" w:cstheme="minorEastAsia"/>
                <w:sz w:val="24"/>
                <w:lang w:val="en-US" w:eastAsia="zh-CN"/>
              </w:rPr>
              <w:t>5分</w:t>
            </w:r>
            <w:r>
              <w:rPr>
                <w:rFonts w:hint="eastAsia" w:asciiTheme="minorEastAsia" w:hAnsiTheme="minorEastAsia" w:eastAsiaTheme="minorEastAsia" w:cstheme="minorEastAsia"/>
                <w:sz w:val="24"/>
                <w:lang w:eastAsia="zh-CN"/>
              </w:rPr>
              <w:t>）</w:t>
            </w:r>
          </w:p>
        </w:tc>
        <w:tc>
          <w:tcPr>
            <w:tcW w:w="6493" w:type="dxa"/>
            <w:noWrap w:val="0"/>
            <w:vAlign w:val="top"/>
          </w:tcPr>
          <w:p>
            <w:pPr>
              <w:keepNext w:val="0"/>
              <w:keepLines w:val="0"/>
              <w:pageBreakBefore w:val="0"/>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项目方案具有项目总体概述，根据</w:t>
            </w:r>
            <w:r>
              <w:rPr>
                <w:rFonts w:hint="eastAsia" w:asciiTheme="minorEastAsia" w:hAnsiTheme="minorEastAsia" w:eastAsiaTheme="minorEastAsia" w:cstheme="minorEastAsia"/>
                <w:sz w:val="24"/>
                <w:lang w:eastAsia="zh-CN"/>
              </w:rPr>
              <w:t>业务需求</w:t>
            </w:r>
            <w:r>
              <w:rPr>
                <w:rFonts w:hint="eastAsia" w:asciiTheme="minorEastAsia" w:hAnsiTheme="minorEastAsia" w:eastAsiaTheme="minorEastAsia" w:cstheme="minorEastAsia"/>
                <w:sz w:val="24"/>
              </w:rPr>
              <w:t>提供符合要求的方案。方案要有针对性、有侧重点，条理清晰、表述完整；内容要全面、准确，且具有可操作性。</w:t>
            </w:r>
          </w:p>
          <w:p>
            <w:pPr>
              <w:keepNext w:val="0"/>
              <w:keepLines w:val="0"/>
              <w:pageBreakBefore w:val="0"/>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在以上内容完整的基础上，根据内容的合理性、实用性进行评分：</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项目方案</w:t>
            </w:r>
            <w:r>
              <w:rPr>
                <w:rFonts w:hint="eastAsia" w:asciiTheme="minorEastAsia" w:hAnsiTheme="minorEastAsia" w:eastAsiaTheme="minorEastAsia" w:cstheme="minorEastAsia"/>
                <w:sz w:val="24"/>
              </w:rPr>
              <w:t>内容合理</w:t>
            </w:r>
            <w:r>
              <w:rPr>
                <w:rFonts w:hint="eastAsia" w:asciiTheme="minorEastAsia" w:hAnsiTheme="minorEastAsia" w:eastAsiaTheme="minorEastAsia" w:cstheme="minorEastAsia"/>
                <w:sz w:val="24"/>
                <w:lang w:val="en-US" w:eastAsia="zh-CN"/>
              </w:rPr>
              <w:t>全面</w:t>
            </w:r>
            <w:r>
              <w:rPr>
                <w:rFonts w:hint="eastAsia" w:asciiTheme="minorEastAsia" w:hAnsiTheme="minorEastAsia" w:eastAsiaTheme="minorEastAsia" w:cstheme="minorEastAsia"/>
                <w:sz w:val="24"/>
              </w:rPr>
              <w:t>、实用性强</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项目方案内容具有针对性；（3）项目方案内容有亮点且具备可操作性。符合以上三点得15分，符合以上两点得10分，符合以上一点得5分，不符合上述情况得0分。</w:t>
            </w:r>
          </w:p>
        </w:tc>
        <w:tc>
          <w:tcPr>
            <w:tcW w:w="729" w:type="dxa"/>
            <w:noWrap w:val="0"/>
            <w:vAlign w:val="top"/>
          </w:tcPr>
          <w:p>
            <w:pPr>
              <w:keepNext w:val="0"/>
              <w:keepLines w:val="0"/>
              <w:pageBreakBefore w:val="0"/>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p>
        </w:tc>
        <w:tc>
          <w:tcPr>
            <w:tcW w:w="820"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lang w:val="en-US" w:eastAsia="zh-CN"/>
              </w:rPr>
            </w:pPr>
          </w:p>
        </w:tc>
        <w:tc>
          <w:tcPr>
            <w:tcW w:w="1313" w:type="dxa"/>
            <w:noWrap w:val="0"/>
            <w:vAlign w:val="center"/>
          </w:tcPr>
          <w:p>
            <w:pPr>
              <w:numPr>
                <w:ilvl w:val="-1"/>
                <w:numId w:val="0"/>
              </w:numPr>
              <w:spacing w:line="4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B2、重难点分析（15分）</w:t>
            </w:r>
          </w:p>
        </w:tc>
        <w:tc>
          <w:tcPr>
            <w:tcW w:w="6493" w:type="dxa"/>
            <w:noWrap w:val="0"/>
            <w:vAlign w:val="top"/>
          </w:tcPr>
          <w:p>
            <w:pPr>
              <w:numPr>
                <w:ilvl w:val="-1"/>
                <w:numId w:val="0"/>
              </w:numPr>
              <w:spacing w:line="4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根据项目工作的重、难点认识与分析全面、对应措施及建议合理、相关政策解读专业深刻等进行横向比较和评价。评价为优得15分；评价为良得10分；评价为中得5分；评价为差得0分</w:t>
            </w:r>
          </w:p>
          <w:p>
            <w:pPr>
              <w:numPr>
                <w:ilvl w:val="-1"/>
                <w:numId w:val="0"/>
              </w:numPr>
              <w:spacing w:line="4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1.工作重点、难点的分析思路明确，逻辑清晰；</w:t>
            </w:r>
          </w:p>
          <w:p>
            <w:pPr>
              <w:numPr>
                <w:ilvl w:val="-1"/>
                <w:numId w:val="0"/>
              </w:numPr>
              <w:spacing w:line="4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2.工作重点、难点的分析准确，全面；</w:t>
            </w:r>
          </w:p>
          <w:p>
            <w:pPr>
              <w:numPr>
                <w:ilvl w:val="-1"/>
                <w:numId w:val="0"/>
              </w:numPr>
              <w:spacing w:line="4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3.解决重点难点问题的方案措施合理且有针对性；</w:t>
            </w:r>
          </w:p>
          <w:p>
            <w:pPr>
              <w:numPr>
                <w:ilvl w:val="-1"/>
                <w:numId w:val="0"/>
              </w:numPr>
              <w:spacing w:line="4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4.解决重点难点问题的建议科学、可行性高；</w:t>
            </w:r>
          </w:p>
          <w:p>
            <w:pPr>
              <w:numPr>
                <w:ilvl w:val="-1"/>
                <w:numId w:val="0"/>
              </w:numPr>
              <w:spacing w:line="44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满足以上4项要求为优、满足3项要求为良、满足2项要求为中、满足1项要求和不满足要求为差。</w:t>
            </w:r>
          </w:p>
        </w:tc>
        <w:tc>
          <w:tcPr>
            <w:tcW w:w="729" w:type="dxa"/>
            <w:noWrap w:val="0"/>
            <w:vAlign w:val="top"/>
          </w:tcPr>
          <w:p>
            <w:pPr>
              <w:keepNext w:val="0"/>
              <w:keepLines w:val="0"/>
              <w:pageBreakBefore w:val="0"/>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p>
        </w:tc>
        <w:tc>
          <w:tcPr>
            <w:tcW w:w="820"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p>
        </w:tc>
        <w:tc>
          <w:tcPr>
            <w:tcW w:w="131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ind w:left="0" w:leftChars="0" w:firstLine="0" w:firstLineChars="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B3、违约承诺（5份）</w:t>
            </w:r>
          </w:p>
        </w:tc>
        <w:tc>
          <w:tcPr>
            <w:tcW w:w="649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ind w:left="0" w:leftChars="0" w:firstLine="0" w:firstLineChars="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投标人承诺以下全部三项的得5分，否则不得分。</w:t>
            </w:r>
          </w:p>
          <w:p>
            <w:pPr>
              <w:keepNext w:val="0"/>
              <w:keepLines w:val="0"/>
              <w:pageBreakBefore w:val="0"/>
              <w:numPr>
                <w:ilvl w:val="-1"/>
                <w:numId w:val="0"/>
              </w:numPr>
              <w:kinsoku/>
              <w:wordWrap/>
              <w:overflowPunct/>
              <w:topLinePunct w:val="0"/>
              <w:autoSpaceDE/>
              <w:autoSpaceDN/>
              <w:bidi w:val="0"/>
              <w:adjustRightInd/>
              <w:snapToGrid/>
              <w:spacing w:line="440" w:lineRule="exact"/>
              <w:ind w:left="0" w:leftChars="0" w:firstLine="0" w:firstLineChars="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1.活动规模和活动内容严格按照招标文件及投标</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lang w:val="en-US" w:eastAsia="zh-CN"/>
              </w:rPr>
              <w:t>承诺配置；</w:t>
            </w:r>
          </w:p>
          <w:p>
            <w:pPr>
              <w:keepNext w:val="0"/>
              <w:keepLines w:val="0"/>
              <w:pageBreakBefore w:val="0"/>
              <w:numPr>
                <w:ilvl w:val="-1"/>
                <w:numId w:val="0"/>
              </w:numPr>
              <w:kinsoku/>
              <w:wordWrap/>
              <w:overflowPunct/>
              <w:topLinePunct w:val="0"/>
              <w:autoSpaceDE/>
              <w:autoSpaceDN/>
              <w:bidi w:val="0"/>
              <w:adjustRightInd/>
              <w:snapToGrid/>
              <w:spacing w:line="440" w:lineRule="exact"/>
              <w:ind w:left="0" w:leftChars="0" w:firstLine="0" w:firstLineChars="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2.服务质量达到招标文件要求；</w:t>
            </w:r>
          </w:p>
          <w:p>
            <w:pPr>
              <w:keepNext w:val="0"/>
              <w:keepLines w:val="0"/>
              <w:pageBreakBefore w:val="0"/>
              <w:numPr>
                <w:ilvl w:val="-1"/>
                <w:numId w:val="0"/>
              </w:numPr>
              <w:kinsoku/>
              <w:wordWrap/>
              <w:overflowPunct/>
              <w:topLinePunct w:val="0"/>
              <w:autoSpaceDE/>
              <w:autoSpaceDN/>
              <w:bidi w:val="0"/>
              <w:adjustRightInd/>
              <w:snapToGrid/>
              <w:spacing w:line="440" w:lineRule="exact"/>
              <w:ind w:left="0" w:leftChars="0" w:firstLine="0" w:firstLineChars="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3.对未能达到的服务要求承担主体责任。</w:t>
            </w:r>
          </w:p>
          <w:p>
            <w:pPr>
              <w:keepNext w:val="0"/>
              <w:keepLines w:val="0"/>
              <w:pageBreakBefore w:val="0"/>
              <w:numPr>
                <w:ilvl w:val="-1"/>
                <w:numId w:val="0"/>
              </w:numPr>
              <w:kinsoku/>
              <w:wordWrap/>
              <w:overflowPunct/>
              <w:topLinePunct w:val="0"/>
              <w:autoSpaceDE/>
              <w:autoSpaceDN/>
              <w:bidi w:val="0"/>
              <w:adjustRightInd/>
              <w:snapToGrid/>
              <w:spacing w:line="440" w:lineRule="exact"/>
              <w:ind w:left="0" w:leftChars="0" w:firstLine="0" w:firstLineChars="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要求提供承诺（格式自定）作为得分依据，未提供承诺或承诺内容不满足要求不得分。</w:t>
            </w:r>
          </w:p>
        </w:tc>
        <w:tc>
          <w:tcPr>
            <w:tcW w:w="729" w:type="dxa"/>
            <w:noWrap w:val="0"/>
            <w:vAlign w:val="top"/>
          </w:tcPr>
          <w:p>
            <w:pPr>
              <w:keepNext w:val="0"/>
              <w:keepLines w:val="0"/>
              <w:pageBreakBefore w:val="0"/>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p>
        </w:tc>
        <w:tc>
          <w:tcPr>
            <w:tcW w:w="820"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p>
        </w:tc>
        <w:tc>
          <w:tcPr>
            <w:tcW w:w="1313" w:type="dxa"/>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B</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、本地服务能力（</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rPr>
              <w:t>分）</w:t>
            </w:r>
          </w:p>
          <w:p>
            <w:pPr>
              <w:spacing w:line="440" w:lineRule="exact"/>
              <w:rPr>
                <w:rFonts w:hint="eastAsia" w:asciiTheme="minorEastAsia" w:hAnsiTheme="minorEastAsia" w:eastAsiaTheme="minorEastAsia" w:cstheme="minorEastAsia"/>
                <w:sz w:val="24"/>
                <w:lang w:val="en-US" w:eastAsia="zh-CN"/>
              </w:rPr>
            </w:pPr>
          </w:p>
        </w:tc>
        <w:tc>
          <w:tcPr>
            <w:tcW w:w="6493" w:type="dxa"/>
            <w:noWrap w:val="0"/>
            <w:vAlign w:val="top"/>
          </w:tcPr>
          <w:p>
            <w:pPr>
              <w:keepNext w:val="0"/>
              <w:keepLines w:val="0"/>
              <w:pageBreakBefore w:val="0"/>
              <w:numPr>
                <w:ilvl w:val="-1"/>
                <w:numId w:val="0"/>
              </w:numPr>
              <w:kinsoku/>
              <w:wordWrap/>
              <w:overflowPunct/>
              <w:topLinePunct w:val="0"/>
              <w:autoSpaceDE/>
              <w:autoSpaceDN/>
              <w:bidi w:val="0"/>
              <w:adjustRightInd/>
              <w:snapToGrid/>
              <w:spacing w:line="440" w:lineRule="exact"/>
              <w:ind w:left="0" w:leftChars="0" w:firstLine="0" w:firstLineChars="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投标单位本地服务能力，具有广东省或在深圳市有合法注册的单位得</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分，</w:t>
            </w:r>
            <w:r>
              <w:rPr>
                <w:rFonts w:hint="eastAsia" w:asciiTheme="minorEastAsia" w:hAnsiTheme="minorEastAsia" w:eastAsiaTheme="minorEastAsia" w:cstheme="minorEastAsia"/>
                <w:sz w:val="24"/>
                <w:lang w:val="en-US" w:eastAsia="zh-CN"/>
              </w:rPr>
              <w:t>非广东省或深圳市供应商承诺中标后在深圳设立服务点的，得2分，并提供承诺函（格式自拟）。</w:t>
            </w:r>
          </w:p>
          <w:p>
            <w:pPr>
              <w:keepNext w:val="0"/>
              <w:keepLines w:val="0"/>
              <w:pageBreakBefore w:val="0"/>
              <w:numPr>
                <w:ilvl w:val="-1"/>
                <w:numId w:val="0"/>
              </w:numPr>
              <w:kinsoku/>
              <w:wordWrap/>
              <w:overflowPunct/>
              <w:topLinePunct w:val="0"/>
              <w:autoSpaceDE/>
              <w:autoSpaceDN/>
              <w:bidi w:val="0"/>
              <w:adjustRightInd/>
              <w:snapToGrid/>
              <w:spacing w:line="440" w:lineRule="exact"/>
              <w:ind w:left="0" w:leftChars="0" w:firstLine="0" w:firstLineChars="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注：</w:t>
            </w:r>
            <w:r>
              <w:rPr>
                <w:rFonts w:hint="eastAsia" w:asciiTheme="minorEastAsia" w:hAnsiTheme="minorEastAsia" w:eastAsiaTheme="minorEastAsia" w:cstheme="minorEastAsia"/>
                <w:sz w:val="24"/>
              </w:rPr>
              <w:t>须在投标文件中就设立的机构类型进行说明，并提供机构营业执照扫描件，原件备查，否则不得分。</w:t>
            </w:r>
          </w:p>
        </w:tc>
        <w:tc>
          <w:tcPr>
            <w:tcW w:w="729" w:type="dxa"/>
            <w:noWrap w:val="0"/>
            <w:vAlign w:val="top"/>
          </w:tcPr>
          <w:p>
            <w:pPr>
              <w:keepNext w:val="0"/>
              <w:keepLines w:val="0"/>
              <w:pageBreakBefore w:val="0"/>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p>
        </w:tc>
        <w:tc>
          <w:tcPr>
            <w:tcW w:w="8626" w:type="dxa"/>
            <w:gridSpan w:val="3"/>
            <w:noWrap w:val="0"/>
            <w:vAlign w:val="top"/>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技术部分得分（B）=B1+B2+B3</w:t>
            </w:r>
            <w:r>
              <w:rPr>
                <w:rFonts w:hint="eastAsia" w:asciiTheme="minorEastAsia" w:hAnsiTheme="minorEastAsia" w:eastAsiaTheme="minorEastAsia" w:cstheme="minorEastAsia"/>
                <w:sz w:val="24"/>
                <w:lang w:val="en-US" w:eastAsia="zh-CN"/>
              </w:rPr>
              <w:t>+B4</w:t>
            </w:r>
          </w:p>
        </w:tc>
        <w:tc>
          <w:tcPr>
            <w:tcW w:w="729" w:type="dxa"/>
            <w:noWrap w:val="0"/>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82"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商务</w:t>
            </w:r>
          </w:p>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部分（C）</w:t>
            </w:r>
          </w:p>
        </w:tc>
        <w:tc>
          <w:tcPr>
            <w:tcW w:w="820" w:type="dxa"/>
            <w:vMerge w:val="restart"/>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32</w:t>
            </w:r>
            <w:r>
              <w:rPr>
                <w:rFonts w:hint="eastAsia" w:asciiTheme="minorEastAsia" w:hAnsiTheme="minorEastAsia" w:eastAsiaTheme="minorEastAsia" w:cstheme="minorEastAsia"/>
                <w:sz w:val="24"/>
              </w:rPr>
              <w:t>分</w:t>
            </w:r>
          </w:p>
        </w:tc>
        <w:tc>
          <w:tcPr>
            <w:tcW w:w="131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C1、同类型项目业绩（</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分）</w:t>
            </w:r>
          </w:p>
        </w:tc>
        <w:tc>
          <w:tcPr>
            <w:tcW w:w="6493" w:type="dxa"/>
            <w:noWrap w:val="0"/>
            <w:vAlign w:val="top"/>
          </w:tcPr>
          <w:p>
            <w:pPr>
              <w:keepNext w:val="0"/>
              <w:keepLines w:val="0"/>
              <w:pageBreakBefore w:val="0"/>
              <w:numPr>
                <w:ilvl w:val="-1"/>
                <w:numId w:val="0"/>
              </w:numPr>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服务部队经验丰富，服务部队项目不低于五个得5分；3-4个项目经验，得3分；1-2个项目经验，得1分；否则不得分。</w:t>
            </w:r>
            <w:r>
              <w:rPr>
                <w:rFonts w:hint="eastAsia" w:asciiTheme="minorEastAsia" w:hAnsiTheme="minorEastAsia" w:eastAsiaTheme="minorEastAsia" w:cstheme="minorEastAsia"/>
                <w:sz w:val="24"/>
                <w:szCs w:val="24"/>
              </w:rPr>
              <w:t>须提供</w:t>
            </w:r>
            <w:r>
              <w:rPr>
                <w:rFonts w:hint="eastAsia" w:asciiTheme="minorEastAsia" w:hAnsiTheme="minorEastAsia" w:eastAsiaTheme="minorEastAsia" w:cstheme="minorEastAsia"/>
                <w:sz w:val="24"/>
                <w:szCs w:val="24"/>
                <w:lang w:eastAsia="zh-CN"/>
              </w:rPr>
              <w:t>过往负责</w:t>
            </w:r>
            <w:r>
              <w:rPr>
                <w:rFonts w:hint="eastAsia" w:asciiTheme="minorEastAsia" w:hAnsiTheme="minorEastAsia" w:eastAsiaTheme="minorEastAsia" w:cstheme="minorEastAsia"/>
                <w:sz w:val="24"/>
                <w:szCs w:val="24"/>
              </w:rPr>
              <w:t>项目合同</w:t>
            </w:r>
            <w:r>
              <w:rPr>
                <w:rFonts w:hint="eastAsia" w:asciiTheme="minorEastAsia" w:hAnsiTheme="minorEastAsia" w:eastAsiaTheme="minorEastAsia" w:cstheme="minorEastAsia"/>
                <w:sz w:val="24"/>
                <w:szCs w:val="24"/>
                <w:lang w:eastAsia="zh-CN"/>
              </w:rPr>
              <w:t>关键页</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相关合同关键页</w:t>
            </w:r>
            <w:r>
              <w:rPr>
                <w:rFonts w:hint="eastAsia" w:asciiTheme="minorEastAsia" w:hAnsiTheme="minorEastAsia" w:eastAsiaTheme="minorEastAsia" w:cstheme="minorEastAsia"/>
                <w:sz w:val="24"/>
                <w:szCs w:val="24"/>
              </w:rPr>
              <w:t>须清晰体现项目签订时间、项目金额、项目内容</w:t>
            </w:r>
            <w:r>
              <w:rPr>
                <w:rFonts w:hint="eastAsia" w:asciiTheme="minorEastAsia" w:hAnsiTheme="minorEastAsia" w:eastAsiaTheme="minorEastAsia" w:cstheme="minorEastAsia"/>
                <w:sz w:val="24"/>
                <w:szCs w:val="24"/>
                <w:lang w:eastAsia="zh-CN"/>
              </w:rPr>
              <w:t>）。</w:t>
            </w:r>
          </w:p>
        </w:tc>
        <w:tc>
          <w:tcPr>
            <w:tcW w:w="729" w:type="dxa"/>
            <w:noWrap w:val="0"/>
            <w:vAlign w:val="top"/>
          </w:tcPr>
          <w:p>
            <w:pPr>
              <w:keepNext w:val="0"/>
              <w:keepLines w:val="0"/>
              <w:pageBreakBefore w:val="0"/>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szCs w:val="24"/>
              </w:rPr>
            </w:pPr>
          </w:p>
        </w:tc>
        <w:tc>
          <w:tcPr>
            <w:tcW w:w="820" w:type="dxa"/>
            <w:vMerge w:val="continue"/>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szCs w:val="24"/>
                <w:lang w:val="en-US" w:eastAsia="zh-CN"/>
              </w:rPr>
            </w:pPr>
          </w:p>
        </w:tc>
        <w:tc>
          <w:tcPr>
            <w:tcW w:w="131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jc w:val="left"/>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C2、项目负责人情况（5分）</w:t>
            </w:r>
          </w:p>
        </w:tc>
        <w:tc>
          <w:tcPr>
            <w:tcW w:w="6493" w:type="dxa"/>
            <w:noWrap w:val="0"/>
            <w:vAlign w:val="top"/>
          </w:tcPr>
          <w:p>
            <w:pPr>
              <w:keepNext w:val="0"/>
              <w:keepLines w:val="0"/>
              <w:pageBreakBefore w:val="0"/>
              <w:numPr>
                <w:ilvl w:val="-1"/>
                <w:numId w:val="0"/>
              </w:numPr>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项目负责人：举办健康服务类活动经验丰富，拥有不低于五个健康服务活动经验，得5分；拥有不低于三个健康服务活动类项目活动经验，得3分；拥有不低于一个健康服务活动类项目活动经验，得1分；否则不得分。</w:t>
            </w:r>
            <w:r>
              <w:rPr>
                <w:rFonts w:hint="eastAsia" w:asciiTheme="minorEastAsia" w:hAnsiTheme="minorEastAsia" w:eastAsiaTheme="minorEastAsia" w:cstheme="minorEastAsia"/>
                <w:color w:val="auto"/>
                <w:sz w:val="24"/>
                <w:szCs w:val="24"/>
                <w:highlight w:val="none"/>
              </w:rPr>
              <w:t>须提供</w:t>
            </w:r>
            <w:r>
              <w:rPr>
                <w:rFonts w:hint="eastAsia" w:asciiTheme="minorEastAsia" w:hAnsiTheme="minorEastAsia" w:eastAsiaTheme="minorEastAsia" w:cstheme="minorEastAsia"/>
                <w:color w:val="auto"/>
                <w:sz w:val="24"/>
                <w:szCs w:val="24"/>
                <w:highlight w:val="none"/>
                <w:lang w:eastAsia="zh-CN"/>
              </w:rPr>
              <w:t>过往负责</w:t>
            </w:r>
            <w:r>
              <w:rPr>
                <w:rFonts w:hint="eastAsia" w:asciiTheme="minorEastAsia" w:hAnsiTheme="minorEastAsia" w:eastAsiaTheme="minorEastAsia" w:cstheme="minorEastAsia"/>
                <w:color w:val="auto"/>
                <w:sz w:val="24"/>
                <w:szCs w:val="24"/>
                <w:highlight w:val="none"/>
              </w:rPr>
              <w:t>项目合同</w:t>
            </w:r>
            <w:r>
              <w:rPr>
                <w:rFonts w:hint="eastAsia" w:asciiTheme="minorEastAsia" w:hAnsiTheme="minorEastAsia" w:eastAsiaTheme="minorEastAsia" w:cstheme="minorEastAsia"/>
                <w:color w:val="auto"/>
                <w:sz w:val="24"/>
                <w:szCs w:val="24"/>
                <w:highlight w:val="none"/>
                <w:lang w:eastAsia="zh-CN"/>
              </w:rPr>
              <w:t>关键页</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相关合同关键页</w:t>
            </w:r>
            <w:r>
              <w:rPr>
                <w:rFonts w:hint="eastAsia" w:asciiTheme="minorEastAsia" w:hAnsiTheme="minorEastAsia" w:eastAsiaTheme="minorEastAsia" w:cstheme="minorEastAsia"/>
                <w:color w:val="auto"/>
                <w:sz w:val="24"/>
                <w:szCs w:val="24"/>
                <w:highlight w:val="none"/>
              </w:rPr>
              <w:t>须清晰体现项目签订时间、项目金额、项目内容</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项目负责人</w:t>
            </w:r>
            <w:r>
              <w:rPr>
                <w:rFonts w:hint="eastAsia" w:asciiTheme="minorEastAsia" w:hAnsiTheme="minorEastAsia" w:eastAsiaTheme="minorEastAsia" w:cstheme="minorEastAsia"/>
                <w:color w:val="auto"/>
                <w:sz w:val="24"/>
                <w:szCs w:val="24"/>
                <w:highlight w:val="none"/>
              </w:rPr>
              <w:t>等）其他</w:t>
            </w:r>
            <w:r>
              <w:rPr>
                <w:rFonts w:hint="eastAsia" w:asciiTheme="minorEastAsia" w:hAnsiTheme="minorEastAsia" w:eastAsiaTheme="minorEastAsia" w:cstheme="minorEastAsia"/>
                <w:color w:val="auto"/>
                <w:sz w:val="24"/>
                <w:szCs w:val="24"/>
                <w:highlight w:val="none"/>
                <w:lang w:val="en-US" w:eastAsia="zh-CN"/>
              </w:rPr>
              <w:t>新闻类</w:t>
            </w:r>
            <w:r>
              <w:rPr>
                <w:rFonts w:hint="eastAsia" w:asciiTheme="minorEastAsia" w:hAnsiTheme="minorEastAsia" w:eastAsiaTheme="minorEastAsia" w:cstheme="minorEastAsia"/>
                <w:color w:val="auto"/>
                <w:sz w:val="24"/>
                <w:szCs w:val="24"/>
                <w:highlight w:val="none"/>
              </w:rPr>
              <w:t>资料复印件需加盖投标人公章</w:t>
            </w:r>
            <w:r>
              <w:rPr>
                <w:rFonts w:hint="eastAsia" w:asciiTheme="minorEastAsia" w:hAnsiTheme="minorEastAsia" w:eastAsiaTheme="minorEastAsia" w:cstheme="minorEastAsia"/>
                <w:color w:val="auto"/>
                <w:sz w:val="24"/>
                <w:szCs w:val="24"/>
                <w:highlight w:val="none"/>
                <w:lang w:val="en-US" w:eastAsia="zh-CN"/>
              </w:rPr>
              <w:t>。</w:t>
            </w:r>
          </w:p>
        </w:tc>
        <w:tc>
          <w:tcPr>
            <w:tcW w:w="729" w:type="dxa"/>
            <w:noWrap w:val="0"/>
            <w:vAlign w:val="top"/>
          </w:tcPr>
          <w:p>
            <w:pPr>
              <w:keepNext w:val="0"/>
              <w:keepLines w:val="0"/>
              <w:pageBreakBefore w:val="0"/>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szCs w:val="24"/>
              </w:rPr>
            </w:pPr>
          </w:p>
        </w:tc>
        <w:tc>
          <w:tcPr>
            <w:tcW w:w="820" w:type="dxa"/>
            <w:vMerge w:val="continue"/>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szCs w:val="24"/>
                <w:lang w:val="en-US" w:eastAsia="zh-CN"/>
              </w:rPr>
            </w:pPr>
          </w:p>
        </w:tc>
        <w:tc>
          <w:tcPr>
            <w:tcW w:w="131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jc w:val="left"/>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C3、拟安排项目主要团队成员（12分）</w:t>
            </w:r>
          </w:p>
        </w:tc>
        <w:tc>
          <w:tcPr>
            <w:tcW w:w="6493" w:type="dxa"/>
            <w:noWrap w:val="0"/>
            <w:vAlign w:val="top"/>
          </w:tcPr>
          <w:p>
            <w:pPr>
              <w:keepNext w:val="0"/>
              <w:keepLines w:val="0"/>
              <w:pageBreakBefore w:val="0"/>
              <w:numPr>
                <w:ilvl w:val="-1"/>
                <w:numId w:val="0"/>
              </w:numPr>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根据招标要求罗列项目主要团队成员，符合项目活动要求，并有3名及以上健康管理师资质得12分，符合项目活动要求，并有2名及以上健康管理师资质得8分，符合项目活动要求，并有1名及以上健康管理师资质，得3分，未提供或内容不符合，不得分（需提供健康管理师资格证复印件，加盖公章）。</w:t>
            </w:r>
          </w:p>
        </w:tc>
        <w:tc>
          <w:tcPr>
            <w:tcW w:w="729" w:type="dxa"/>
            <w:noWrap w:val="0"/>
            <w:vAlign w:val="top"/>
          </w:tcPr>
          <w:p>
            <w:pPr>
              <w:keepNext w:val="0"/>
              <w:keepLines w:val="0"/>
              <w:pageBreakBefore w:val="0"/>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p>
        </w:tc>
        <w:tc>
          <w:tcPr>
            <w:tcW w:w="820" w:type="dxa"/>
            <w:vMerge w:val="continue"/>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lang w:val="en-US" w:eastAsia="zh-CN"/>
              </w:rPr>
            </w:pPr>
          </w:p>
        </w:tc>
        <w:tc>
          <w:tcPr>
            <w:tcW w:w="131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C</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highlight w:val="none"/>
                <w:lang w:eastAsia="zh-CN"/>
              </w:rPr>
              <w:t>、获奖情况（</w:t>
            </w:r>
            <w:r>
              <w:rPr>
                <w:rFonts w:hint="eastAsia" w:asciiTheme="minorEastAsia" w:hAnsiTheme="minorEastAsia" w:eastAsiaTheme="minorEastAsia" w:cstheme="minorEastAsia"/>
                <w:color w:val="auto"/>
                <w:sz w:val="24"/>
                <w:highlight w:val="none"/>
                <w:lang w:val="en" w:eastAsia="zh-CN"/>
              </w:rPr>
              <w:t>5</w:t>
            </w:r>
            <w:r>
              <w:rPr>
                <w:rFonts w:hint="eastAsia" w:asciiTheme="minorEastAsia" w:hAnsiTheme="minorEastAsia" w:eastAsiaTheme="minorEastAsia" w:cstheme="minorEastAsia"/>
                <w:color w:val="auto"/>
                <w:sz w:val="24"/>
                <w:highlight w:val="none"/>
                <w:lang w:eastAsia="zh-CN"/>
              </w:rPr>
              <w:t>分）</w:t>
            </w:r>
          </w:p>
        </w:tc>
        <w:tc>
          <w:tcPr>
            <w:tcW w:w="6493" w:type="dxa"/>
            <w:noWrap w:val="0"/>
            <w:vAlign w:val="center"/>
          </w:tcPr>
          <w:p>
            <w:pPr>
              <w:numPr>
                <w:ilvl w:val="-1"/>
                <w:numId w:val="0"/>
              </w:numPr>
              <w:spacing w:line="440" w:lineRule="exac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投标人获得相关奖项：投标单位获得过省级及以上军地相关荣誉奖项的，得5分；投标单位获得过市级军地荣誉奖项的，得3分；投标单位获得区级军地荣誉奖项的，得2分；投标人未获得过相关荣誉奖项或未提供获奖材料的，不得分。各奖项累计计分，最高不超过5分。</w:t>
            </w:r>
          </w:p>
          <w:p>
            <w:pPr>
              <w:keepNext w:val="0"/>
              <w:keepLines w:val="0"/>
              <w:pageBreakBefore w:val="0"/>
              <w:numPr>
                <w:ilvl w:val="-1"/>
                <w:numId w:val="0"/>
              </w:numPr>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证明文件：投标人须提供所获得荣誉奖项的复印件加盖投标人公章。</w:t>
            </w:r>
          </w:p>
        </w:tc>
        <w:tc>
          <w:tcPr>
            <w:tcW w:w="729" w:type="dxa"/>
            <w:noWrap w:val="0"/>
            <w:vAlign w:val="top"/>
          </w:tcPr>
          <w:p>
            <w:pPr>
              <w:keepNext w:val="0"/>
              <w:keepLines w:val="0"/>
              <w:pageBreakBefore w:val="0"/>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p>
        </w:tc>
        <w:tc>
          <w:tcPr>
            <w:tcW w:w="820" w:type="dxa"/>
            <w:vMerge w:val="continue"/>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p>
        </w:tc>
        <w:tc>
          <w:tcPr>
            <w:tcW w:w="131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C</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、售后服务（</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分）</w:t>
            </w:r>
          </w:p>
        </w:tc>
        <w:tc>
          <w:tcPr>
            <w:tcW w:w="649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项目结束后，做好军地对接后期跟踪服务，</w:t>
            </w:r>
            <w:r>
              <w:rPr>
                <w:rFonts w:hint="eastAsia" w:asciiTheme="minorEastAsia" w:hAnsiTheme="minorEastAsia" w:eastAsiaTheme="minorEastAsia" w:cstheme="minorEastAsia"/>
                <w:sz w:val="24"/>
              </w:rPr>
              <w:t>在项目实施过程中能够按照客户方的需求不断完善和改进，以满足客户方的功能需求，</w:t>
            </w:r>
            <w:r>
              <w:rPr>
                <w:rFonts w:hint="eastAsia" w:asciiTheme="minorEastAsia" w:hAnsiTheme="minorEastAsia" w:eastAsiaTheme="minorEastAsia" w:cstheme="minorEastAsia"/>
                <w:sz w:val="24"/>
                <w:lang w:val="en-US" w:eastAsia="zh-CN"/>
              </w:rPr>
              <w:t>对以上要求提供售后服务承诺函的得5分，未提供或内容不全不得分。（《承诺函》格式自拟）</w:t>
            </w:r>
          </w:p>
        </w:tc>
        <w:tc>
          <w:tcPr>
            <w:tcW w:w="729" w:type="dxa"/>
            <w:noWrap w:val="0"/>
            <w:vAlign w:val="top"/>
          </w:tcPr>
          <w:p>
            <w:pPr>
              <w:keepNext w:val="0"/>
              <w:keepLines w:val="0"/>
              <w:pageBreakBefore w:val="0"/>
              <w:kinsoku/>
              <w:wordWrap/>
              <w:overflowPunct/>
              <w:topLinePunct w:val="0"/>
              <w:autoSpaceDE/>
              <w:autoSpaceDN/>
              <w:bidi w:val="0"/>
              <w:adjustRightInd/>
              <w:snapToGrid/>
              <w:spacing w:line="44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8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p>
        </w:tc>
        <w:tc>
          <w:tcPr>
            <w:tcW w:w="820" w:type="dxa"/>
            <w:vMerge w:val="continue"/>
            <w:noWrap w:val="0"/>
            <w:vAlign w:val="center"/>
          </w:tcPr>
          <w:p>
            <w:pPr>
              <w:keepNext w:val="0"/>
              <w:keepLines w:val="0"/>
              <w:pageBreakBefore w:val="0"/>
              <w:widowControl/>
              <w:numPr>
                <w:ilvl w:val="-1"/>
                <w:numId w:val="0"/>
              </w:numPr>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p>
        </w:tc>
        <w:tc>
          <w:tcPr>
            <w:tcW w:w="7806" w:type="dxa"/>
            <w:gridSpan w:val="2"/>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ind w:left="0" w:leftChars="0" w:firstLine="0" w:firstLineChars="0"/>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商务部分得分（C）=C1+C2+C3</w:t>
            </w:r>
            <w:r>
              <w:rPr>
                <w:rFonts w:hint="eastAsia" w:asciiTheme="minorEastAsia" w:hAnsiTheme="minorEastAsia" w:eastAsiaTheme="minorEastAsia" w:cstheme="minorEastAsia"/>
                <w:sz w:val="24"/>
                <w:lang w:val="en-US" w:eastAsia="zh-CN"/>
              </w:rPr>
              <w:t>+C4</w:t>
            </w:r>
            <w:r>
              <w:rPr>
                <w:rFonts w:hint="eastAsia" w:asciiTheme="minorEastAsia" w:hAnsiTheme="minorEastAsia" w:eastAsiaTheme="minorEastAsia" w:cstheme="minorEastAsia"/>
                <w:sz w:val="24"/>
                <w:szCs w:val="24"/>
                <w:lang w:val="en-US" w:eastAsia="zh-CN"/>
              </w:rPr>
              <w:t>+C5</w:t>
            </w:r>
          </w:p>
        </w:tc>
        <w:tc>
          <w:tcPr>
            <w:tcW w:w="729" w:type="dxa"/>
            <w:noWrap w:val="0"/>
            <w:vAlign w:val="top"/>
          </w:tcPr>
          <w:p>
            <w:pPr>
              <w:keepNext w:val="0"/>
              <w:keepLines w:val="0"/>
              <w:pageBreakBefore w:val="0"/>
              <w:kinsoku/>
              <w:wordWrap/>
              <w:overflowPunct/>
              <w:topLinePunct w:val="0"/>
              <w:autoSpaceDE/>
              <w:autoSpaceDN/>
              <w:bidi w:val="0"/>
              <w:adjustRightInd/>
              <w:snapToGrid/>
              <w:spacing w:line="440" w:lineRule="exact"/>
              <w:ind w:left="0" w:leftChars="0" w:firstLine="0" w:firstLineChars="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诚信</w:t>
            </w:r>
          </w:p>
          <w:p>
            <w:pPr>
              <w:keepNext w:val="0"/>
              <w:keepLines w:val="0"/>
              <w:pageBreakBefore w:val="0"/>
              <w:widowControl/>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部分</w:t>
            </w:r>
          </w:p>
          <w:p>
            <w:pPr>
              <w:keepNext w:val="0"/>
              <w:keepLines w:val="0"/>
              <w:pageBreakBefore w:val="0"/>
              <w:widowControl/>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D</w:t>
            </w:r>
            <w:r>
              <w:rPr>
                <w:rFonts w:hint="eastAsia" w:asciiTheme="minorEastAsia" w:hAnsiTheme="minorEastAsia" w:eastAsiaTheme="minorEastAsia" w:cstheme="minorEastAsia"/>
                <w:sz w:val="24"/>
                <w:lang w:eastAsia="zh-CN"/>
              </w:rPr>
              <w:t>）</w:t>
            </w:r>
          </w:p>
        </w:tc>
        <w:tc>
          <w:tcPr>
            <w:tcW w:w="820" w:type="dxa"/>
            <w:noWrap w:val="0"/>
            <w:vAlign w:val="center"/>
          </w:tcPr>
          <w:p>
            <w:pPr>
              <w:keepNext w:val="0"/>
              <w:keepLines w:val="0"/>
              <w:pageBreakBefore w:val="0"/>
              <w:widowControl/>
              <w:numPr>
                <w:ilvl w:val="-1"/>
                <w:numId w:val="0"/>
              </w:numPr>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5分</w:t>
            </w:r>
          </w:p>
        </w:tc>
        <w:tc>
          <w:tcPr>
            <w:tcW w:w="131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ind w:left="0" w:leftChars="0" w:firstLine="0" w:firstLineChars="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诚信承诺（</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分）</w:t>
            </w:r>
          </w:p>
        </w:tc>
        <w:tc>
          <w:tcPr>
            <w:tcW w:w="649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440" w:lineRule="exact"/>
              <w:ind w:left="0" w:leftChars="0" w:firstLine="0" w:firstLineChars="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投标人在参与政府采购活动中出现诚信相关问题且在相关主管部门处理措施实施期限内的本项不得分，否则得满分。（须提供《诚信承诺函》，按招标文件格式要求提供，不提供不得分。如被认定提供的陈述与事实不符的，依法追究其责任。）</w:t>
            </w:r>
          </w:p>
        </w:tc>
        <w:tc>
          <w:tcPr>
            <w:tcW w:w="729" w:type="dxa"/>
            <w:noWrap w:val="0"/>
            <w:vAlign w:val="top"/>
          </w:tcPr>
          <w:p>
            <w:pPr>
              <w:keepNext w:val="0"/>
              <w:keepLines w:val="0"/>
              <w:pageBreakBefore w:val="0"/>
              <w:kinsoku/>
              <w:wordWrap/>
              <w:overflowPunct/>
              <w:topLinePunct w:val="0"/>
              <w:autoSpaceDE/>
              <w:autoSpaceDN/>
              <w:bidi w:val="0"/>
              <w:adjustRightInd/>
              <w:snapToGrid/>
              <w:spacing w:line="440" w:lineRule="exact"/>
              <w:ind w:left="0" w:leftChars="0" w:firstLine="0" w:firstLineChars="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708" w:type="dxa"/>
            <w:gridSpan w:val="4"/>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 xml:space="preserve">评标总得分 Z = A + B + C </w:t>
            </w:r>
            <w:r>
              <w:rPr>
                <w:rFonts w:hint="eastAsia" w:asciiTheme="minorEastAsia" w:hAnsiTheme="minorEastAsia" w:eastAsiaTheme="minorEastAsia" w:cstheme="minorEastAsia"/>
                <w:sz w:val="24"/>
                <w:lang w:val="en-US" w:eastAsia="zh-CN"/>
              </w:rPr>
              <w:t>+ D</w:t>
            </w:r>
          </w:p>
        </w:tc>
        <w:tc>
          <w:tcPr>
            <w:tcW w:w="729" w:type="dxa"/>
            <w:noWrap w:val="0"/>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Theme="minorEastAsia" w:hAnsiTheme="minorEastAsia" w:eastAsiaTheme="minorEastAsia" w:cstheme="minorEastAsia"/>
                <w:sz w:val="24"/>
              </w:rPr>
            </w:pPr>
          </w:p>
        </w:tc>
      </w:tr>
    </w:tbl>
    <w:p>
      <w:pPr>
        <w:spacing w:line="560" w:lineRule="exact"/>
        <w:rPr>
          <w:rFonts w:hint="eastAsia" w:ascii="仿宋_GB2312" w:hAnsi="仿宋_GB2312" w:eastAsia="仿宋_GB2312" w:cs="仿宋_GB2312"/>
          <w:sz w:val="28"/>
          <w:szCs w:val="28"/>
        </w:rPr>
      </w:pPr>
    </w:p>
    <w:p>
      <w:pPr>
        <w:spacing w:before="0" w:beforeAutospacing="0" w:after="0" w:line="560" w:lineRule="exact"/>
        <w:rPr>
          <w:rFonts w:hint="eastAsia" w:ascii="仿宋_GB2312" w:hAnsi="仿宋_GB2312" w:eastAsia="仿宋_GB2312" w:cs="仿宋_GB2312"/>
          <w:sz w:val="28"/>
          <w:szCs w:val="28"/>
        </w:rPr>
      </w:pPr>
    </w:p>
    <w:p>
      <w:bookmarkStart w:id="0" w:name="_GoBack"/>
      <w:bookmarkEnd w:id="0"/>
    </w:p>
    <w:sectPr>
      <w:footerReference r:id="rId3" w:type="default"/>
      <w:pgSz w:w="11906" w:h="16838"/>
      <w:pgMar w:top="2098" w:right="1587" w:bottom="1531" w:left="1587" w:header="851" w:footer="992" w:gutter="0"/>
      <w:pgNumType w:fmt="numberInDash"/>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- 8 -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- 8 -</w:t>
                    </w:r>
                    <w:r>
                      <w:rPr>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s>
  <w:rsids>
    <w:rsidRoot w:val="77E3E478"/>
    <w:rsid w:val="165D730B"/>
    <w:rsid w:val="557F43A1"/>
    <w:rsid w:val="77E3E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2312" w:cs="Times New Roman"/>
      <w:spacing w:val="10"/>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footer"/>
    <w:basedOn w:val="1"/>
    <w:unhideWhenUsed/>
    <w:qFormat/>
    <w:uiPriority w:val="99"/>
    <w:pPr>
      <w:tabs>
        <w:tab w:val="center" w:pos="4153"/>
        <w:tab w:val="right" w:pos="8306"/>
      </w:tabs>
      <w:snapToGrid w:val="0"/>
      <w:jc w:val="left"/>
    </w:pPr>
    <w:rPr>
      <w:rFonts w:ascii="Calibri" w:hAnsi="Calibri" w:eastAsia="宋体"/>
      <w:spacing w:val="0"/>
      <w:kern w:val="0"/>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5163</Words>
  <Characters>5307</Characters>
  <Lines>0</Lines>
  <Paragraphs>0</Paragraphs>
  <TotalTime>3</TotalTime>
  <ScaleCrop>false</ScaleCrop>
  <LinksUpToDate>false</LinksUpToDate>
  <CharactersWithSpaces>5380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2022-12-05T20:04:00Z</dcterms:created>
  <dc:creator>yyl</dc:creator>
  <cp:lastModifiedBy>Darcya</cp:lastModifiedBy>
  <dcterms:modified xsi:type="dcterms:W3CDTF">2022-12-07T07:11:39Z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94D2005564DE4D1B8DEF2090426B47AE</vt:lpwstr>
  </property>
</Properties>
</file>