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2019年度优抚对象数据入户核查评分表</w:t>
      </w:r>
      <w:bookmarkStart w:id="0" w:name="_GoBack"/>
      <w:bookmarkEnd w:id="0"/>
    </w:p>
    <w:tbl>
      <w:tblPr>
        <w:tblStyle w:val="4"/>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128" w:type="dxa"/>
            <w:vAlign w:val="center"/>
          </w:tcPr>
          <w:p>
            <w:pPr>
              <w:spacing w:line="360" w:lineRule="auto"/>
              <w:jc w:val="center"/>
              <w:rPr>
                <w:rFonts w:ascii="宋体" w:hAnsi="宋体" w:eastAsia="宋体" w:cs="华文仿宋"/>
                <w:b/>
                <w:spacing w:val="-11"/>
                <w:sz w:val="21"/>
                <w:szCs w:val="21"/>
              </w:rPr>
            </w:pPr>
            <w:r>
              <w:rPr>
                <w:rFonts w:hint="eastAsia" w:ascii="宋体" w:hAnsi="宋体" w:eastAsia="宋体" w:cs="华文仿宋"/>
                <w:b/>
                <w:spacing w:val="-11"/>
                <w:sz w:val="21"/>
                <w:szCs w:val="21"/>
              </w:rPr>
              <w:t>评分</w:t>
            </w:r>
          </w:p>
          <w:p>
            <w:pPr>
              <w:spacing w:line="360" w:lineRule="auto"/>
              <w:jc w:val="center"/>
              <w:rPr>
                <w:rFonts w:ascii="宋体" w:hAnsi="宋体" w:eastAsia="宋体" w:cs="华文仿宋"/>
                <w:b/>
                <w:spacing w:val="-11"/>
                <w:sz w:val="21"/>
                <w:szCs w:val="21"/>
              </w:rPr>
            </w:pPr>
            <w:r>
              <w:rPr>
                <w:rFonts w:hint="eastAsia" w:ascii="宋体" w:hAnsi="宋体" w:eastAsia="宋体" w:cs="华文仿宋"/>
                <w:b/>
                <w:spacing w:val="-11"/>
                <w:sz w:val="21"/>
                <w:szCs w:val="21"/>
              </w:rPr>
              <w:t>因素</w:t>
            </w:r>
          </w:p>
        </w:tc>
        <w:tc>
          <w:tcPr>
            <w:tcW w:w="709" w:type="dxa"/>
            <w:vAlign w:val="center"/>
          </w:tcPr>
          <w:p>
            <w:pPr>
              <w:spacing w:line="360" w:lineRule="auto"/>
              <w:jc w:val="center"/>
              <w:rPr>
                <w:rFonts w:ascii="宋体" w:hAnsi="宋体" w:eastAsia="宋体" w:cs="华文仿宋"/>
                <w:b/>
                <w:spacing w:val="-11"/>
                <w:sz w:val="21"/>
                <w:szCs w:val="21"/>
              </w:rPr>
            </w:pPr>
            <w:r>
              <w:rPr>
                <w:rFonts w:hint="eastAsia" w:ascii="宋体" w:hAnsi="宋体" w:eastAsia="宋体" w:cs="华文仿宋"/>
                <w:b/>
                <w:spacing w:val="-11"/>
                <w:sz w:val="21"/>
                <w:szCs w:val="21"/>
              </w:rPr>
              <w:t>分值</w:t>
            </w:r>
          </w:p>
        </w:tc>
        <w:tc>
          <w:tcPr>
            <w:tcW w:w="1442" w:type="dxa"/>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评分内容</w:t>
            </w:r>
          </w:p>
        </w:tc>
        <w:tc>
          <w:tcPr>
            <w:tcW w:w="7088" w:type="dxa"/>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评分标准</w:t>
            </w:r>
          </w:p>
        </w:tc>
        <w:tc>
          <w:tcPr>
            <w:tcW w:w="811" w:type="dxa"/>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128" w:type="dxa"/>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报价</w:t>
            </w:r>
          </w:p>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部分</w:t>
            </w:r>
          </w:p>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（A）</w:t>
            </w:r>
          </w:p>
        </w:tc>
        <w:tc>
          <w:tcPr>
            <w:tcW w:w="709" w:type="dxa"/>
            <w:vAlign w:val="center"/>
          </w:tcPr>
          <w:p>
            <w:pPr>
              <w:spacing w:line="360" w:lineRule="auto"/>
              <w:jc w:val="center"/>
              <w:rPr>
                <w:rFonts w:ascii="宋体" w:hAnsi="宋体" w:eastAsia="宋体"/>
                <w:b/>
                <w:spacing w:val="-11"/>
                <w:sz w:val="21"/>
                <w:szCs w:val="21"/>
              </w:rPr>
            </w:pPr>
            <w:r>
              <w:rPr>
                <w:rFonts w:ascii="宋体" w:hAnsi="宋体" w:eastAsia="宋体"/>
                <w:b/>
                <w:spacing w:val="-11"/>
                <w:sz w:val="21"/>
                <w:szCs w:val="21"/>
              </w:rPr>
              <w:t>30</w:t>
            </w:r>
            <w:r>
              <w:rPr>
                <w:rFonts w:hint="eastAsia" w:ascii="宋体" w:hAnsi="宋体" w:eastAsia="宋体"/>
                <w:b/>
                <w:spacing w:val="-11"/>
                <w:sz w:val="21"/>
                <w:szCs w:val="21"/>
              </w:rPr>
              <w:t>分</w:t>
            </w:r>
          </w:p>
        </w:tc>
        <w:tc>
          <w:tcPr>
            <w:tcW w:w="1442" w:type="dxa"/>
            <w:vAlign w:val="center"/>
          </w:tcPr>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报价得分</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w:t>
            </w:r>
            <w:r>
              <w:rPr>
                <w:rFonts w:ascii="宋体" w:hAnsi="宋体" w:eastAsia="宋体"/>
                <w:spacing w:val="-11"/>
                <w:sz w:val="21"/>
                <w:szCs w:val="21"/>
              </w:rPr>
              <w:t>30</w:t>
            </w:r>
            <w:r>
              <w:rPr>
                <w:rFonts w:hint="eastAsia" w:ascii="宋体" w:hAnsi="宋体" w:eastAsia="宋体"/>
                <w:spacing w:val="-11"/>
                <w:sz w:val="21"/>
                <w:szCs w:val="21"/>
              </w:rPr>
              <w:t>分）</w:t>
            </w:r>
          </w:p>
        </w:tc>
        <w:tc>
          <w:tcPr>
            <w:tcW w:w="7088" w:type="dxa"/>
          </w:tcPr>
          <w:p>
            <w:pPr>
              <w:spacing w:line="360" w:lineRule="auto"/>
              <w:rPr>
                <w:rFonts w:ascii="宋体" w:hAnsi="宋体" w:eastAsia="宋体"/>
                <w:spacing w:val="-11"/>
                <w:sz w:val="21"/>
                <w:szCs w:val="21"/>
              </w:rPr>
            </w:pPr>
            <w:r>
              <w:rPr>
                <w:rFonts w:hint="eastAsia" w:ascii="宋体" w:hAnsi="宋体" w:eastAsia="宋体"/>
                <w:spacing w:val="-11"/>
                <w:sz w:val="21"/>
                <w:szCs w:val="21"/>
              </w:rPr>
              <w:t>报价得分按照低价优先法计算，即满足采购招标需求且方案报价最低的投标人报价为评标基准价，其价格分为满分，其他供应商的价格得分统一按照下列公式计算：报价得分</w:t>
            </w:r>
            <w:r>
              <w:rPr>
                <w:rFonts w:ascii="宋体" w:hAnsi="宋体" w:eastAsia="宋体"/>
                <w:spacing w:val="-11"/>
                <w:sz w:val="21"/>
                <w:szCs w:val="21"/>
              </w:rPr>
              <w:t>=(</w:t>
            </w:r>
            <w:r>
              <w:rPr>
                <w:rFonts w:hint="eastAsia" w:ascii="宋体" w:hAnsi="宋体" w:eastAsia="宋体"/>
                <w:spacing w:val="-11"/>
                <w:sz w:val="21"/>
                <w:szCs w:val="21"/>
              </w:rPr>
              <w:t>评标基准价／方案报价</w:t>
            </w:r>
            <w:r>
              <w:rPr>
                <w:rFonts w:ascii="宋体" w:hAnsi="宋体" w:eastAsia="宋体"/>
                <w:spacing w:val="-11"/>
                <w:sz w:val="21"/>
                <w:szCs w:val="21"/>
              </w:rPr>
              <w:t>)</w:t>
            </w:r>
            <w:r>
              <w:rPr>
                <w:rFonts w:hint="eastAsia" w:ascii="宋体" w:hAnsi="宋体" w:eastAsia="宋体"/>
                <w:spacing w:val="-11"/>
                <w:sz w:val="21"/>
                <w:szCs w:val="21"/>
              </w:rPr>
              <w:t>×</w:t>
            </w:r>
            <w:r>
              <w:rPr>
                <w:rFonts w:ascii="宋体" w:hAnsi="宋体" w:eastAsia="宋体"/>
                <w:spacing w:val="-11"/>
                <w:sz w:val="21"/>
                <w:szCs w:val="21"/>
              </w:rPr>
              <w:t>30</w:t>
            </w:r>
          </w:p>
        </w:tc>
        <w:tc>
          <w:tcPr>
            <w:tcW w:w="811" w:type="dxa"/>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128" w:type="dxa"/>
            <w:vMerge w:val="restart"/>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技术部分</w:t>
            </w:r>
          </w:p>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（B）</w:t>
            </w:r>
          </w:p>
        </w:tc>
        <w:tc>
          <w:tcPr>
            <w:tcW w:w="709" w:type="dxa"/>
            <w:vMerge w:val="restart"/>
            <w:vAlign w:val="center"/>
          </w:tcPr>
          <w:p>
            <w:pPr>
              <w:spacing w:line="360" w:lineRule="auto"/>
              <w:jc w:val="center"/>
              <w:rPr>
                <w:rFonts w:ascii="宋体" w:hAnsi="宋体" w:eastAsia="宋体"/>
                <w:b/>
                <w:spacing w:val="-11"/>
                <w:sz w:val="21"/>
                <w:szCs w:val="21"/>
              </w:rPr>
            </w:pPr>
            <w:r>
              <w:rPr>
                <w:rFonts w:ascii="宋体" w:hAnsi="宋体" w:eastAsia="宋体"/>
                <w:b/>
                <w:spacing w:val="-11"/>
                <w:sz w:val="21"/>
                <w:szCs w:val="21"/>
              </w:rPr>
              <w:t>40</w:t>
            </w:r>
            <w:r>
              <w:rPr>
                <w:rFonts w:hint="eastAsia" w:ascii="宋体" w:hAnsi="宋体" w:eastAsia="宋体"/>
                <w:b/>
                <w:spacing w:val="-11"/>
                <w:sz w:val="21"/>
                <w:szCs w:val="21"/>
              </w:rPr>
              <w:t>分</w:t>
            </w:r>
          </w:p>
        </w:tc>
        <w:tc>
          <w:tcPr>
            <w:tcW w:w="1442" w:type="dxa"/>
            <w:vAlign w:val="center"/>
          </w:tcPr>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B</w:t>
            </w:r>
            <w:r>
              <w:rPr>
                <w:rFonts w:ascii="宋体" w:hAnsi="宋体" w:eastAsia="宋体"/>
                <w:spacing w:val="-11"/>
                <w:sz w:val="21"/>
                <w:szCs w:val="21"/>
              </w:rPr>
              <w:t>1</w:t>
            </w:r>
            <w:r>
              <w:rPr>
                <w:rFonts w:hint="eastAsia" w:ascii="宋体" w:hAnsi="宋体" w:eastAsia="宋体"/>
                <w:spacing w:val="-11"/>
                <w:sz w:val="21"/>
                <w:szCs w:val="21"/>
              </w:rPr>
              <w:t>、实施</w:t>
            </w:r>
            <w:r>
              <w:rPr>
                <w:rFonts w:ascii="宋体" w:hAnsi="宋体" w:eastAsia="宋体"/>
                <w:spacing w:val="-11"/>
                <w:sz w:val="21"/>
                <w:szCs w:val="21"/>
              </w:rPr>
              <w:t>方案得分</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（20</w:t>
            </w:r>
            <w:r>
              <w:rPr>
                <w:rFonts w:ascii="宋体" w:hAnsi="宋体" w:eastAsia="宋体"/>
                <w:spacing w:val="-11"/>
                <w:sz w:val="21"/>
                <w:szCs w:val="21"/>
              </w:rPr>
              <w:t>分</w:t>
            </w:r>
            <w:r>
              <w:rPr>
                <w:rFonts w:hint="eastAsia" w:ascii="宋体" w:hAnsi="宋体" w:eastAsia="宋体"/>
                <w:spacing w:val="-11"/>
                <w:sz w:val="21"/>
                <w:szCs w:val="21"/>
              </w:rPr>
              <w:t>）</w:t>
            </w:r>
          </w:p>
        </w:tc>
        <w:tc>
          <w:tcPr>
            <w:tcW w:w="7088" w:type="dxa"/>
          </w:tcPr>
          <w:p>
            <w:pPr>
              <w:spacing w:line="360" w:lineRule="auto"/>
              <w:rPr>
                <w:rFonts w:ascii="宋体" w:hAnsi="宋体" w:eastAsia="宋体"/>
                <w:spacing w:val="-11"/>
                <w:sz w:val="21"/>
                <w:szCs w:val="21"/>
              </w:rPr>
            </w:pPr>
            <w:r>
              <w:rPr>
                <w:rFonts w:hint="eastAsia" w:ascii="宋体" w:hAnsi="宋体" w:eastAsia="宋体"/>
                <w:spacing w:val="-11"/>
                <w:sz w:val="21"/>
                <w:szCs w:val="21"/>
              </w:rPr>
              <w:t>根据提供的本项目的方案，针对时间安排、人员安排，其他安排，经费预算等进行横向比较和评价。分档评分：评价为优得16-20分；评价为良得10-15分；评价为中得5-9分数；评价为差不得分。</w:t>
            </w:r>
          </w:p>
        </w:tc>
        <w:tc>
          <w:tcPr>
            <w:tcW w:w="811" w:type="dxa"/>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128" w:type="dxa"/>
            <w:vMerge w:val="continue"/>
            <w:vAlign w:val="center"/>
          </w:tcPr>
          <w:p>
            <w:pPr>
              <w:spacing w:line="360" w:lineRule="auto"/>
              <w:jc w:val="center"/>
              <w:rPr>
                <w:rFonts w:ascii="宋体" w:hAnsi="宋体" w:eastAsia="宋体"/>
                <w:b/>
                <w:spacing w:val="-11"/>
                <w:sz w:val="21"/>
                <w:szCs w:val="21"/>
              </w:rPr>
            </w:pPr>
          </w:p>
        </w:tc>
        <w:tc>
          <w:tcPr>
            <w:tcW w:w="709" w:type="dxa"/>
            <w:vMerge w:val="continue"/>
            <w:vAlign w:val="center"/>
          </w:tcPr>
          <w:p>
            <w:pPr>
              <w:spacing w:line="360" w:lineRule="auto"/>
              <w:jc w:val="center"/>
              <w:rPr>
                <w:rFonts w:ascii="宋体" w:hAnsi="宋体" w:eastAsia="宋体"/>
                <w:b/>
                <w:spacing w:val="-11"/>
                <w:sz w:val="21"/>
                <w:szCs w:val="21"/>
              </w:rPr>
            </w:pPr>
          </w:p>
        </w:tc>
        <w:tc>
          <w:tcPr>
            <w:tcW w:w="1442" w:type="dxa"/>
            <w:vAlign w:val="center"/>
          </w:tcPr>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B</w:t>
            </w:r>
            <w:r>
              <w:rPr>
                <w:rFonts w:ascii="宋体" w:hAnsi="宋体" w:eastAsia="宋体"/>
                <w:spacing w:val="-11"/>
                <w:sz w:val="21"/>
                <w:szCs w:val="21"/>
              </w:rPr>
              <w:t>2</w:t>
            </w:r>
            <w:r>
              <w:rPr>
                <w:rFonts w:hint="eastAsia" w:ascii="宋体" w:hAnsi="宋体" w:eastAsia="宋体"/>
                <w:spacing w:val="-11"/>
                <w:sz w:val="21"/>
                <w:szCs w:val="21"/>
              </w:rPr>
              <w:t>、</w:t>
            </w:r>
            <w:r>
              <w:rPr>
                <w:rFonts w:ascii="宋体" w:hAnsi="宋体" w:eastAsia="宋体"/>
                <w:spacing w:val="-11"/>
                <w:sz w:val="21"/>
                <w:szCs w:val="21"/>
              </w:rPr>
              <w:t>团队</w:t>
            </w:r>
            <w:r>
              <w:rPr>
                <w:rFonts w:hint="eastAsia" w:ascii="宋体" w:hAnsi="宋体" w:eastAsia="宋体"/>
                <w:spacing w:val="-11"/>
                <w:sz w:val="21"/>
                <w:szCs w:val="21"/>
              </w:rPr>
              <w:t>能</w:t>
            </w:r>
            <w:r>
              <w:rPr>
                <w:rFonts w:ascii="宋体" w:hAnsi="宋体" w:eastAsia="宋体"/>
                <w:spacing w:val="-11"/>
                <w:sz w:val="21"/>
                <w:szCs w:val="21"/>
              </w:rPr>
              <w:t>力得分</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20</w:t>
            </w:r>
            <w:r>
              <w:rPr>
                <w:rFonts w:ascii="宋体" w:hAnsi="宋体" w:eastAsia="宋体"/>
                <w:spacing w:val="-11"/>
                <w:sz w:val="21"/>
                <w:szCs w:val="21"/>
              </w:rPr>
              <w:t>分</w:t>
            </w:r>
            <w:r>
              <w:rPr>
                <w:rFonts w:hint="eastAsia" w:ascii="宋体" w:hAnsi="宋体" w:eastAsia="宋体"/>
                <w:spacing w:val="-11"/>
                <w:sz w:val="21"/>
                <w:szCs w:val="21"/>
              </w:rPr>
              <w:t>）</w:t>
            </w:r>
          </w:p>
        </w:tc>
        <w:tc>
          <w:tcPr>
            <w:tcW w:w="7088" w:type="dxa"/>
          </w:tcPr>
          <w:p>
            <w:pPr>
              <w:spacing w:line="360" w:lineRule="auto"/>
              <w:rPr>
                <w:rFonts w:ascii="宋体" w:hAnsi="宋体" w:eastAsia="宋体"/>
                <w:spacing w:val="-11"/>
                <w:sz w:val="21"/>
                <w:szCs w:val="21"/>
              </w:rPr>
            </w:pPr>
            <w:r>
              <w:rPr>
                <w:rFonts w:hint="eastAsia" w:ascii="宋体" w:hAnsi="宋体" w:eastAsia="宋体"/>
                <w:spacing w:val="-11"/>
                <w:sz w:val="21"/>
                <w:szCs w:val="21"/>
              </w:rPr>
              <w:t>横向比较投标人针对本项目的项目负责人、团队人员组成及学历、经验、能力评价，承接或者参与过政府单位其他项目工作。分档评分：评价为优得16-20分；评价为良得10-15分；评价为中得5-9分数；评价为差不得分。</w:t>
            </w:r>
          </w:p>
        </w:tc>
        <w:tc>
          <w:tcPr>
            <w:tcW w:w="811" w:type="dxa"/>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8" w:type="dxa"/>
            <w:vMerge w:val="continue"/>
            <w:vAlign w:val="center"/>
          </w:tcPr>
          <w:p>
            <w:pPr>
              <w:spacing w:line="360" w:lineRule="auto"/>
              <w:jc w:val="center"/>
              <w:rPr>
                <w:rFonts w:ascii="宋体" w:hAnsi="宋体" w:eastAsia="宋体"/>
                <w:b/>
                <w:spacing w:val="-11"/>
                <w:sz w:val="21"/>
                <w:szCs w:val="21"/>
              </w:rPr>
            </w:pPr>
          </w:p>
        </w:tc>
        <w:tc>
          <w:tcPr>
            <w:tcW w:w="9239" w:type="dxa"/>
            <w:gridSpan w:val="3"/>
          </w:tcPr>
          <w:p>
            <w:pPr>
              <w:spacing w:line="360" w:lineRule="auto"/>
              <w:textAlignment w:val="baseline"/>
              <w:rPr>
                <w:rFonts w:ascii="宋体" w:hAnsi="宋体" w:eastAsia="宋体"/>
                <w:spacing w:val="-11"/>
                <w:sz w:val="21"/>
                <w:szCs w:val="21"/>
              </w:rPr>
            </w:pPr>
            <w:r>
              <w:rPr>
                <w:rFonts w:hint="eastAsia" w:ascii="宋体" w:hAnsi="宋体" w:eastAsia="宋体"/>
                <w:spacing w:val="-11"/>
                <w:sz w:val="21"/>
                <w:szCs w:val="21"/>
              </w:rPr>
              <w:t>技术部分得分（B）=B</w:t>
            </w:r>
            <w:r>
              <w:rPr>
                <w:rFonts w:ascii="宋体" w:hAnsi="宋体" w:eastAsia="宋体"/>
                <w:spacing w:val="-11"/>
                <w:sz w:val="21"/>
                <w:szCs w:val="21"/>
              </w:rPr>
              <w:t>1+B2</w:t>
            </w:r>
          </w:p>
        </w:tc>
        <w:tc>
          <w:tcPr>
            <w:tcW w:w="811" w:type="dxa"/>
          </w:tcPr>
          <w:p>
            <w:pPr>
              <w:spacing w:line="360" w:lineRule="auto"/>
              <w:textAlignment w:val="baseline"/>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128" w:type="dxa"/>
            <w:vMerge w:val="restart"/>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商务部分（C）</w:t>
            </w:r>
          </w:p>
        </w:tc>
        <w:tc>
          <w:tcPr>
            <w:tcW w:w="709" w:type="dxa"/>
            <w:vMerge w:val="restart"/>
            <w:vAlign w:val="center"/>
          </w:tcPr>
          <w:p>
            <w:pPr>
              <w:spacing w:line="360" w:lineRule="auto"/>
              <w:jc w:val="center"/>
              <w:rPr>
                <w:rFonts w:ascii="宋体" w:hAnsi="宋体" w:eastAsia="宋体"/>
                <w:b/>
                <w:spacing w:val="-11"/>
                <w:sz w:val="21"/>
                <w:szCs w:val="21"/>
              </w:rPr>
            </w:pPr>
            <w:r>
              <w:rPr>
                <w:rFonts w:ascii="宋体" w:hAnsi="宋体" w:eastAsia="宋体"/>
                <w:b/>
                <w:spacing w:val="-11"/>
                <w:sz w:val="21"/>
                <w:szCs w:val="21"/>
              </w:rPr>
              <w:t>30</w:t>
            </w:r>
            <w:r>
              <w:rPr>
                <w:rFonts w:hint="eastAsia" w:ascii="宋体" w:hAnsi="宋体" w:eastAsia="宋体"/>
                <w:b/>
                <w:spacing w:val="-11"/>
                <w:sz w:val="21"/>
                <w:szCs w:val="21"/>
              </w:rPr>
              <w:t>分</w:t>
            </w:r>
          </w:p>
        </w:tc>
        <w:tc>
          <w:tcPr>
            <w:tcW w:w="1442" w:type="dxa"/>
            <w:vAlign w:val="center"/>
          </w:tcPr>
          <w:p>
            <w:pPr>
              <w:spacing w:line="360" w:lineRule="auto"/>
              <w:jc w:val="center"/>
              <w:rPr>
                <w:rFonts w:ascii="宋体" w:hAnsi="宋体" w:eastAsia="宋体"/>
                <w:spacing w:val="-11"/>
                <w:sz w:val="21"/>
                <w:szCs w:val="21"/>
              </w:rPr>
            </w:pPr>
            <w:r>
              <w:rPr>
                <w:rFonts w:ascii="宋体" w:hAnsi="宋体" w:eastAsia="宋体"/>
                <w:spacing w:val="-11"/>
                <w:sz w:val="21"/>
                <w:szCs w:val="21"/>
              </w:rPr>
              <w:t>C1</w:t>
            </w:r>
            <w:r>
              <w:rPr>
                <w:rFonts w:hint="eastAsia" w:ascii="宋体" w:hAnsi="宋体" w:eastAsia="宋体"/>
                <w:spacing w:val="-11"/>
                <w:sz w:val="21"/>
                <w:szCs w:val="21"/>
              </w:rPr>
              <w:t>、同类项目业绩得分（</w:t>
            </w:r>
            <w:r>
              <w:rPr>
                <w:rFonts w:hint="eastAsia" w:ascii="宋体" w:hAnsi="宋体" w:eastAsia="宋体"/>
                <w:spacing w:val="-11"/>
                <w:sz w:val="21"/>
                <w:szCs w:val="21"/>
                <w:lang w:val="en-US" w:eastAsia="zh-CN"/>
              </w:rPr>
              <w:t>10</w:t>
            </w:r>
            <w:r>
              <w:rPr>
                <w:rFonts w:hint="eastAsia" w:ascii="宋体" w:hAnsi="宋体" w:eastAsia="宋体"/>
                <w:spacing w:val="-11"/>
                <w:sz w:val="21"/>
                <w:szCs w:val="21"/>
              </w:rPr>
              <w:t>分）</w:t>
            </w:r>
          </w:p>
        </w:tc>
        <w:tc>
          <w:tcPr>
            <w:tcW w:w="7088" w:type="dxa"/>
          </w:tcPr>
          <w:p>
            <w:pPr>
              <w:spacing w:line="360" w:lineRule="auto"/>
              <w:rPr>
                <w:rFonts w:ascii="宋体" w:hAnsi="宋体" w:eastAsia="宋体"/>
                <w:spacing w:val="-11"/>
                <w:sz w:val="21"/>
                <w:szCs w:val="21"/>
              </w:rPr>
            </w:pPr>
            <w:r>
              <w:rPr>
                <w:rFonts w:hint="eastAsia" w:ascii="宋体" w:hAnsi="宋体" w:eastAsia="宋体"/>
                <w:spacing w:val="-11"/>
                <w:sz w:val="21"/>
                <w:szCs w:val="21"/>
              </w:rPr>
              <w:t>1.投标人承办过</w:t>
            </w:r>
            <w:r>
              <w:rPr>
                <w:rFonts w:ascii="宋体" w:hAnsi="宋体" w:eastAsia="宋体"/>
                <w:spacing w:val="-11"/>
                <w:sz w:val="21"/>
                <w:szCs w:val="21"/>
              </w:rPr>
              <w:t>2次或以上</w:t>
            </w:r>
            <w:r>
              <w:rPr>
                <w:rFonts w:hint="eastAsia" w:ascii="宋体" w:hAnsi="宋体" w:eastAsia="宋体"/>
                <w:spacing w:val="-11"/>
                <w:sz w:val="21"/>
                <w:szCs w:val="21"/>
              </w:rPr>
              <w:t>深圳市数据核查工作的，得</w:t>
            </w:r>
            <w:r>
              <w:rPr>
                <w:rFonts w:hint="eastAsia" w:ascii="宋体" w:hAnsi="宋体" w:eastAsia="宋体"/>
                <w:spacing w:val="-11"/>
                <w:sz w:val="21"/>
                <w:szCs w:val="21"/>
                <w:lang w:val="en-US" w:eastAsia="zh-CN"/>
              </w:rPr>
              <w:t>1</w:t>
            </w:r>
            <w:r>
              <w:rPr>
                <w:rFonts w:ascii="宋体" w:hAnsi="宋体" w:eastAsia="宋体"/>
                <w:spacing w:val="-11"/>
                <w:sz w:val="21"/>
                <w:szCs w:val="21"/>
              </w:rPr>
              <w:t>0</w:t>
            </w:r>
            <w:r>
              <w:rPr>
                <w:rFonts w:hint="eastAsia" w:ascii="宋体" w:hAnsi="宋体" w:eastAsia="宋体"/>
                <w:spacing w:val="-11"/>
                <w:sz w:val="21"/>
                <w:szCs w:val="21"/>
              </w:rPr>
              <w:t>分。</w:t>
            </w:r>
          </w:p>
          <w:p>
            <w:pPr>
              <w:spacing w:line="360" w:lineRule="auto"/>
              <w:rPr>
                <w:rFonts w:ascii="宋体" w:hAnsi="宋体" w:eastAsia="宋体"/>
                <w:spacing w:val="-11"/>
                <w:sz w:val="21"/>
                <w:szCs w:val="21"/>
              </w:rPr>
            </w:pPr>
            <w:r>
              <w:rPr>
                <w:rFonts w:hint="eastAsia" w:ascii="宋体" w:hAnsi="宋体" w:eastAsia="宋体"/>
                <w:spacing w:val="-11"/>
                <w:sz w:val="21"/>
                <w:szCs w:val="21"/>
              </w:rPr>
              <w:t>2.投标人承办过</w:t>
            </w:r>
            <w:r>
              <w:rPr>
                <w:rFonts w:ascii="宋体" w:hAnsi="宋体" w:eastAsia="宋体"/>
                <w:spacing w:val="-11"/>
                <w:sz w:val="21"/>
                <w:szCs w:val="21"/>
              </w:rPr>
              <w:t>1</w:t>
            </w:r>
            <w:r>
              <w:rPr>
                <w:rFonts w:hint="eastAsia" w:ascii="宋体" w:hAnsi="宋体" w:eastAsia="宋体"/>
                <w:spacing w:val="-11"/>
                <w:sz w:val="21"/>
                <w:szCs w:val="21"/>
              </w:rPr>
              <w:t>次深圳市数据核查工作的，得</w:t>
            </w:r>
            <w:r>
              <w:rPr>
                <w:rFonts w:hint="eastAsia" w:ascii="宋体" w:hAnsi="宋体" w:eastAsia="宋体"/>
                <w:spacing w:val="-11"/>
                <w:sz w:val="21"/>
                <w:szCs w:val="21"/>
                <w:lang w:val="en-US" w:eastAsia="zh-CN"/>
              </w:rPr>
              <w:t>5</w:t>
            </w:r>
            <w:r>
              <w:rPr>
                <w:rFonts w:hint="eastAsia" w:ascii="宋体" w:hAnsi="宋体" w:eastAsia="宋体"/>
                <w:spacing w:val="-11"/>
                <w:sz w:val="21"/>
                <w:szCs w:val="21"/>
              </w:rPr>
              <w:t>分。</w:t>
            </w:r>
          </w:p>
          <w:p>
            <w:pPr>
              <w:spacing w:line="360" w:lineRule="auto"/>
              <w:rPr>
                <w:rFonts w:ascii="宋体" w:hAnsi="宋体" w:eastAsia="宋体"/>
                <w:spacing w:val="-11"/>
                <w:sz w:val="21"/>
                <w:szCs w:val="21"/>
              </w:rPr>
            </w:pPr>
            <w:r>
              <w:rPr>
                <w:rFonts w:hint="eastAsia" w:ascii="宋体" w:hAnsi="宋体" w:eastAsia="宋体"/>
                <w:spacing w:val="-11"/>
                <w:sz w:val="21"/>
                <w:szCs w:val="21"/>
              </w:rPr>
              <w:t>3.投标人未承办过，得0分。</w:t>
            </w:r>
          </w:p>
          <w:p>
            <w:pPr>
              <w:spacing w:line="360" w:lineRule="auto"/>
              <w:rPr>
                <w:rFonts w:ascii="宋体" w:hAnsi="宋体" w:eastAsia="宋体"/>
                <w:spacing w:val="-11"/>
                <w:sz w:val="21"/>
                <w:szCs w:val="21"/>
              </w:rPr>
            </w:pPr>
            <w:r>
              <w:rPr>
                <w:rFonts w:hint="eastAsia" w:ascii="宋体" w:hAnsi="宋体" w:eastAsia="宋体"/>
                <w:spacing w:val="-11"/>
                <w:sz w:val="21"/>
                <w:szCs w:val="21"/>
              </w:rPr>
              <w:t>证明文件：投标人须提供相关有效业绩的合同关键页或中标通知书（证明文件中须清晰体现项目签订时间、项目金额、项目内容等）复印件加盖投标人公章。</w:t>
            </w:r>
          </w:p>
        </w:tc>
        <w:tc>
          <w:tcPr>
            <w:tcW w:w="811" w:type="dxa"/>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8" w:type="dxa"/>
            <w:vMerge w:val="continue"/>
            <w:vAlign w:val="center"/>
          </w:tcPr>
          <w:p>
            <w:pPr>
              <w:spacing w:line="360" w:lineRule="auto"/>
              <w:jc w:val="center"/>
              <w:rPr>
                <w:rFonts w:ascii="宋体" w:hAnsi="宋体" w:eastAsia="宋体"/>
                <w:b/>
                <w:spacing w:val="-11"/>
                <w:sz w:val="21"/>
                <w:szCs w:val="21"/>
              </w:rPr>
            </w:pPr>
          </w:p>
        </w:tc>
        <w:tc>
          <w:tcPr>
            <w:tcW w:w="709" w:type="dxa"/>
            <w:vMerge w:val="continue"/>
            <w:vAlign w:val="center"/>
          </w:tcPr>
          <w:p>
            <w:pPr>
              <w:spacing w:line="360" w:lineRule="auto"/>
              <w:jc w:val="center"/>
              <w:rPr>
                <w:rFonts w:ascii="宋体" w:hAnsi="宋体" w:eastAsia="宋体"/>
                <w:b/>
                <w:spacing w:val="-11"/>
                <w:sz w:val="21"/>
                <w:szCs w:val="21"/>
              </w:rPr>
            </w:pPr>
          </w:p>
        </w:tc>
        <w:tc>
          <w:tcPr>
            <w:tcW w:w="1442" w:type="dxa"/>
            <w:vAlign w:val="center"/>
          </w:tcPr>
          <w:p>
            <w:pPr>
              <w:spacing w:line="360" w:lineRule="auto"/>
              <w:jc w:val="center"/>
              <w:rPr>
                <w:rFonts w:ascii="宋体" w:hAnsi="宋体" w:eastAsia="宋体"/>
                <w:spacing w:val="-11"/>
                <w:sz w:val="21"/>
                <w:szCs w:val="21"/>
              </w:rPr>
            </w:pPr>
            <w:r>
              <w:rPr>
                <w:rFonts w:ascii="宋体" w:hAnsi="宋体" w:eastAsia="宋体"/>
                <w:spacing w:val="-11"/>
                <w:sz w:val="21"/>
                <w:szCs w:val="21"/>
              </w:rPr>
              <w:t>C2</w:t>
            </w:r>
            <w:r>
              <w:rPr>
                <w:rFonts w:hint="eastAsia" w:ascii="宋体" w:hAnsi="宋体" w:eastAsia="宋体"/>
                <w:spacing w:val="-11"/>
                <w:sz w:val="21"/>
                <w:szCs w:val="21"/>
              </w:rPr>
              <w:t>、综合实力得分（</w:t>
            </w:r>
            <w:r>
              <w:rPr>
                <w:rFonts w:ascii="宋体" w:hAnsi="宋体" w:eastAsia="宋体"/>
                <w:spacing w:val="-11"/>
                <w:sz w:val="21"/>
                <w:szCs w:val="21"/>
              </w:rPr>
              <w:t>10</w:t>
            </w:r>
            <w:r>
              <w:rPr>
                <w:rFonts w:hint="eastAsia" w:ascii="宋体" w:hAnsi="宋体" w:eastAsia="宋体"/>
                <w:spacing w:val="-11"/>
                <w:sz w:val="21"/>
                <w:szCs w:val="21"/>
              </w:rPr>
              <w:t>分）</w:t>
            </w:r>
          </w:p>
        </w:tc>
        <w:tc>
          <w:tcPr>
            <w:tcW w:w="7088" w:type="dxa"/>
          </w:tcPr>
          <w:p>
            <w:pPr>
              <w:spacing w:line="360" w:lineRule="auto"/>
              <w:rPr>
                <w:rFonts w:ascii="宋体" w:hAnsi="宋体" w:eastAsia="宋体"/>
                <w:spacing w:val="-11"/>
                <w:sz w:val="21"/>
                <w:szCs w:val="21"/>
              </w:rPr>
            </w:pPr>
            <w:r>
              <w:rPr>
                <w:rFonts w:hint="eastAsia" w:ascii="宋体" w:hAnsi="宋体" w:eastAsia="宋体"/>
                <w:spacing w:val="-11"/>
                <w:sz w:val="21"/>
                <w:szCs w:val="21"/>
              </w:rPr>
              <w:t>横向比较投标人综合实力进行打分。</w:t>
            </w:r>
          </w:p>
          <w:p>
            <w:pPr>
              <w:spacing w:line="360" w:lineRule="auto"/>
              <w:rPr>
                <w:rFonts w:ascii="宋体" w:hAnsi="宋体" w:eastAsia="宋体"/>
                <w:spacing w:val="-11"/>
                <w:sz w:val="21"/>
                <w:szCs w:val="21"/>
              </w:rPr>
            </w:pPr>
            <w:r>
              <w:rPr>
                <w:rFonts w:hint="eastAsia" w:ascii="宋体" w:hAnsi="宋体" w:eastAsia="宋体"/>
                <w:spacing w:val="-11"/>
                <w:sz w:val="21"/>
                <w:szCs w:val="21"/>
              </w:rPr>
              <w:t>评价为优得8-10分数；评价为良得6-7分数；评价为中得3-5分数；评价为差得3以下分数。</w:t>
            </w:r>
          </w:p>
        </w:tc>
        <w:tc>
          <w:tcPr>
            <w:tcW w:w="811" w:type="dxa"/>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8" w:type="dxa"/>
            <w:vMerge w:val="continue"/>
            <w:vAlign w:val="center"/>
          </w:tcPr>
          <w:p>
            <w:pPr>
              <w:spacing w:line="360" w:lineRule="auto"/>
              <w:jc w:val="center"/>
              <w:rPr>
                <w:rFonts w:ascii="宋体" w:hAnsi="宋体" w:eastAsia="宋体"/>
                <w:b/>
                <w:spacing w:val="-11"/>
                <w:sz w:val="21"/>
                <w:szCs w:val="21"/>
              </w:rPr>
            </w:pPr>
          </w:p>
        </w:tc>
        <w:tc>
          <w:tcPr>
            <w:tcW w:w="709" w:type="dxa"/>
            <w:vMerge w:val="continue"/>
            <w:vAlign w:val="center"/>
          </w:tcPr>
          <w:p>
            <w:pPr>
              <w:spacing w:line="360" w:lineRule="auto"/>
              <w:jc w:val="center"/>
              <w:rPr>
                <w:rFonts w:ascii="宋体" w:hAnsi="宋体" w:eastAsia="宋体"/>
                <w:b/>
                <w:spacing w:val="-11"/>
                <w:sz w:val="21"/>
                <w:szCs w:val="21"/>
              </w:rPr>
            </w:pPr>
          </w:p>
        </w:tc>
        <w:tc>
          <w:tcPr>
            <w:tcW w:w="1442" w:type="dxa"/>
            <w:vAlign w:val="center"/>
          </w:tcPr>
          <w:p>
            <w:pPr>
              <w:spacing w:line="360" w:lineRule="auto"/>
              <w:jc w:val="both"/>
              <w:rPr>
                <w:rFonts w:hint="eastAsia" w:ascii="宋体" w:hAnsi="宋体" w:eastAsia="宋体"/>
                <w:spacing w:val="-11"/>
                <w:sz w:val="21"/>
                <w:szCs w:val="21"/>
                <w:lang w:eastAsia="zh-CN"/>
              </w:rPr>
            </w:pPr>
          </w:p>
          <w:p>
            <w:pPr>
              <w:spacing w:line="360" w:lineRule="auto"/>
              <w:jc w:val="both"/>
              <w:rPr>
                <w:rFonts w:hint="eastAsia" w:ascii="宋体" w:hAnsi="宋体" w:eastAsia="宋体"/>
                <w:spacing w:val="-11"/>
                <w:sz w:val="21"/>
                <w:szCs w:val="21"/>
              </w:rPr>
            </w:pPr>
            <w:r>
              <w:rPr>
                <w:rFonts w:ascii="宋体" w:hAnsi="宋体" w:eastAsia="宋体"/>
                <w:spacing w:val="-11"/>
                <w:sz w:val="21"/>
                <w:szCs w:val="21"/>
              </w:rPr>
              <w:t>C</w:t>
            </w:r>
            <w:r>
              <w:rPr>
                <w:rFonts w:hint="eastAsia" w:ascii="宋体" w:hAnsi="宋体" w:eastAsia="宋体"/>
                <w:spacing w:val="-11"/>
                <w:sz w:val="21"/>
                <w:szCs w:val="21"/>
                <w:lang w:val="en-US" w:eastAsia="zh-CN"/>
              </w:rPr>
              <w:t>3</w:t>
            </w:r>
            <w:r>
              <w:rPr>
                <w:rFonts w:hint="eastAsia" w:ascii="宋体" w:hAnsi="宋体" w:eastAsia="宋体"/>
                <w:spacing w:val="-11"/>
                <w:sz w:val="21"/>
                <w:szCs w:val="21"/>
              </w:rPr>
              <w:t>、诚信情况</w:t>
            </w:r>
            <w:r>
              <w:rPr>
                <w:rFonts w:hint="eastAsia" w:ascii="宋体" w:hAnsi="宋体" w:eastAsia="宋体"/>
                <w:spacing w:val="-11"/>
                <w:sz w:val="21"/>
                <w:szCs w:val="21"/>
                <w:lang w:eastAsia="zh-CN"/>
              </w:rPr>
              <w:t>得分</w:t>
            </w:r>
          </w:p>
          <w:p>
            <w:pPr>
              <w:spacing w:line="360" w:lineRule="auto"/>
              <w:jc w:val="both"/>
              <w:rPr>
                <w:rFonts w:ascii="宋体" w:hAnsi="宋体" w:eastAsia="宋体"/>
                <w:spacing w:val="-11"/>
                <w:sz w:val="21"/>
                <w:szCs w:val="21"/>
              </w:rPr>
            </w:pPr>
            <w:r>
              <w:rPr>
                <w:rFonts w:hint="eastAsia" w:ascii="宋体" w:hAnsi="宋体" w:eastAsia="宋体"/>
                <w:spacing w:val="-11"/>
                <w:sz w:val="21"/>
                <w:szCs w:val="21"/>
              </w:rPr>
              <w:t>（</w:t>
            </w:r>
            <w:r>
              <w:rPr>
                <w:rFonts w:hint="eastAsia" w:ascii="宋体" w:hAnsi="宋体" w:eastAsia="宋体"/>
                <w:spacing w:val="-11"/>
                <w:sz w:val="21"/>
                <w:szCs w:val="21"/>
                <w:lang w:val="en-US" w:eastAsia="zh-CN"/>
              </w:rPr>
              <w:t>10</w:t>
            </w:r>
            <w:r>
              <w:rPr>
                <w:rFonts w:hint="eastAsia" w:ascii="宋体" w:hAnsi="宋体" w:eastAsia="宋体"/>
                <w:spacing w:val="-11"/>
                <w:sz w:val="21"/>
                <w:szCs w:val="21"/>
              </w:rPr>
              <w:t>分）</w:t>
            </w:r>
          </w:p>
        </w:tc>
        <w:tc>
          <w:tcPr>
            <w:tcW w:w="7088" w:type="dxa"/>
            <w:vAlign w:val="top"/>
          </w:tcPr>
          <w:p>
            <w:pPr>
              <w:spacing w:line="360" w:lineRule="auto"/>
              <w:rPr>
                <w:rFonts w:hint="eastAsia" w:ascii="宋体" w:hAnsi="宋体" w:eastAsia="宋体"/>
                <w:spacing w:val="-11"/>
                <w:sz w:val="21"/>
                <w:szCs w:val="21"/>
              </w:rPr>
            </w:pPr>
            <w:r>
              <w:rPr>
                <w:rFonts w:hint="eastAsia" w:ascii="宋体" w:hAnsi="宋体" w:eastAsia="宋体"/>
                <w:spacing w:val="-11"/>
                <w:sz w:val="21"/>
                <w:szCs w:val="21"/>
                <w:lang w:val="en-US" w:eastAsia="zh-CN"/>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8" w:type="dxa"/>
            <w:vMerge w:val="continue"/>
            <w:vAlign w:val="center"/>
          </w:tcPr>
          <w:p>
            <w:pPr>
              <w:widowControl/>
              <w:spacing w:line="320" w:lineRule="exact"/>
              <w:jc w:val="center"/>
              <w:rPr>
                <w:rFonts w:ascii="宋体" w:hAnsi="宋体" w:eastAsia="宋体"/>
                <w:b/>
                <w:spacing w:val="-11"/>
                <w:sz w:val="21"/>
                <w:szCs w:val="21"/>
              </w:rPr>
            </w:pPr>
          </w:p>
        </w:tc>
        <w:tc>
          <w:tcPr>
            <w:tcW w:w="709" w:type="dxa"/>
            <w:vMerge w:val="continue"/>
            <w:vAlign w:val="center"/>
          </w:tcPr>
          <w:p>
            <w:pPr>
              <w:widowControl/>
              <w:spacing w:line="320" w:lineRule="exact"/>
              <w:jc w:val="center"/>
              <w:rPr>
                <w:rFonts w:ascii="宋体" w:hAnsi="宋体" w:eastAsia="宋体"/>
                <w:b/>
                <w:spacing w:val="-11"/>
                <w:sz w:val="21"/>
                <w:szCs w:val="21"/>
              </w:rPr>
            </w:pPr>
          </w:p>
        </w:tc>
        <w:tc>
          <w:tcPr>
            <w:tcW w:w="8530" w:type="dxa"/>
            <w:gridSpan w:val="2"/>
            <w:vAlign w:val="center"/>
          </w:tcPr>
          <w:p>
            <w:pPr>
              <w:spacing w:line="320" w:lineRule="exact"/>
              <w:ind w:left="460" w:hanging="376" w:hangingChars="200"/>
              <w:jc w:val="center"/>
              <w:rPr>
                <w:rFonts w:hint="eastAsia" w:ascii="宋体" w:hAnsi="宋体" w:eastAsia="宋体" w:cs="华文仿宋"/>
                <w:spacing w:val="-11"/>
                <w:sz w:val="21"/>
                <w:szCs w:val="21"/>
                <w:lang w:eastAsia="zh-CN"/>
              </w:rPr>
            </w:pPr>
            <w:r>
              <w:rPr>
                <w:rFonts w:hint="eastAsia" w:ascii="宋体" w:hAnsi="宋体" w:eastAsia="宋体"/>
                <w:spacing w:val="-11"/>
                <w:sz w:val="21"/>
                <w:szCs w:val="21"/>
              </w:rPr>
              <w:t>商务部分得分（</w:t>
            </w:r>
            <w:r>
              <w:rPr>
                <w:rFonts w:ascii="宋体" w:hAnsi="宋体" w:eastAsia="宋体"/>
                <w:spacing w:val="-11"/>
                <w:sz w:val="21"/>
                <w:szCs w:val="21"/>
              </w:rPr>
              <w:t>C</w:t>
            </w:r>
            <w:r>
              <w:rPr>
                <w:rFonts w:hint="eastAsia" w:ascii="宋体" w:hAnsi="宋体" w:eastAsia="宋体"/>
                <w:spacing w:val="-11"/>
                <w:sz w:val="21"/>
                <w:szCs w:val="21"/>
              </w:rPr>
              <w:t>）=</w:t>
            </w:r>
            <w:r>
              <w:rPr>
                <w:rFonts w:ascii="宋体" w:hAnsi="宋体" w:eastAsia="宋体"/>
                <w:spacing w:val="-11"/>
                <w:sz w:val="21"/>
                <w:szCs w:val="21"/>
              </w:rPr>
              <w:t>C1</w:t>
            </w:r>
            <w:r>
              <w:rPr>
                <w:rFonts w:hint="eastAsia" w:ascii="宋体" w:hAnsi="宋体" w:eastAsia="宋体"/>
                <w:spacing w:val="-11"/>
                <w:sz w:val="21"/>
                <w:szCs w:val="21"/>
              </w:rPr>
              <w:t>+</w:t>
            </w:r>
            <w:r>
              <w:rPr>
                <w:rFonts w:ascii="宋体" w:hAnsi="宋体" w:eastAsia="宋体"/>
                <w:spacing w:val="-11"/>
                <w:sz w:val="21"/>
                <w:szCs w:val="21"/>
              </w:rPr>
              <w:t>C</w:t>
            </w:r>
            <w:r>
              <w:rPr>
                <w:rFonts w:hint="eastAsia" w:ascii="宋体" w:hAnsi="宋体" w:eastAsia="宋体"/>
                <w:spacing w:val="-11"/>
                <w:sz w:val="21"/>
                <w:szCs w:val="21"/>
              </w:rPr>
              <w:t>2+</w:t>
            </w:r>
            <w:r>
              <w:rPr>
                <w:rFonts w:ascii="宋体" w:hAnsi="宋体" w:eastAsia="宋体"/>
                <w:spacing w:val="-11"/>
                <w:sz w:val="21"/>
                <w:szCs w:val="21"/>
              </w:rPr>
              <w:t>C</w:t>
            </w:r>
            <w:r>
              <w:rPr>
                <w:rFonts w:hint="eastAsia" w:ascii="宋体" w:hAnsi="宋体" w:eastAsia="宋体"/>
                <w:spacing w:val="-11"/>
                <w:sz w:val="21"/>
                <w:szCs w:val="21"/>
                <w:lang w:val="en-US" w:eastAsia="zh-CN"/>
              </w:rPr>
              <w:t>3</w:t>
            </w:r>
          </w:p>
        </w:tc>
        <w:tc>
          <w:tcPr>
            <w:tcW w:w="811" w:type="dxa"/>
          </w:tcPr>
          <w:p>
            <w:pPr>
              <w:spacing w:line="320" w:lineRule="exact"/>
              <w:ind w:left="460" w:hanging="376" w:hangingChars="200"/>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67" w:type="dxa"/>
            <w:gridSpan w:val="4"/>
            <w:vAlign w:val="center"/>
          </w:tcPr>
          <w:p>
            <w:pPr>
              <w:spacing w:line="320" w:lineRule="exact"/>
              <w:jc w:val="center"/>
              <w:rPr>
                <w:rFonts w:ascii="宋体" w:hAnsi="宋体" w:eastAsia="宋体" w:cs="华文仿宋"/>
                <w:b/>
                <w:spacing w:val="-11"/>
                <w:sz w:val="21"/>
                <w:szCs w:val="21"/>
              </w:rPr>
            </w:pPr>
            <w:r>
              <w:rPr>
                <w:rFonts w:hint="eastAsia" w:ascii="宋体" w:hAnsi="宋体" w:eastAsia="宋体" w:cs="华文仿宋"/>
                <w:b/>
                <w:spacing w:val="-11"/>
                <w:sz w:val="21"/>
                <w:szCs w:val="21"/>
              </w:rPr>
              <w:t>评标总得分 Z = A + B + C</w:t>
            </w:r>
          </w:p>
        </w:tc>
        <w:tc>
          <w:tcPr>
            <w:tcW w:w="811" w:type="dxa"/>
            <w:vAlign w:val="center"/>
          </w:tcPr>
          <w:p>
            <w:pPr>
              <w:spacing w:line="320" w:lineRule="exact"/>
              <w:jc w:val="center"/>
              <w:rPr>
                <w:rFonts w:ascii="宋体" w:hAnsi="宋体" w:eastAsia="宋体" w:cs="华文仿宋"/>
                <w:b/>
                <w:spacing w:val="-11"/>
                <w:sz w:val="21"/>
                <w:szCs w:val="21"/>
              </w:rPr>
            </w:pPr>
          </w:p>
        </w:tc>
      </w:tr>
    </w:tbl>
    <w:p>
      <w:pPr>
        <w:spacing w:line="580" w:lineRule="exact"/>
        <w:rPr>
          <w:rFonts w:ascii="方正小标宋简体" w:hAnsi="方正小标宋简体" w:eastAsia="方正小标宋简体" w:cs="方正小标宋简体"/>
          <w:color w:val="000000"/>
          <w:kern w:val="0"/>
          <w:szCs w:val="32"/>
        </w:rPr>
      </w:pPr>
    </w:p>
    <w:p>
      <w:pPr>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诚信承诺函</w:t>
      </w:r>
    </w:p>
    <w:p>
      <w:pPr>
        <w:rPr>
          <w:rFonts w:hint="eastAsia" w:ascii="仿宋_GB2312" w:hAnsi="仿宋_GB2312" w:cs="仿宋_GB2312"/>
          <w:sz w:val="32"/>
          <w:szCs w:val="32"/>
        </w:rPr>
      </w:pPr>
      <w:r>
        <w:rPr>
          <w:rFonts w:hint="eastAsia" w:ascii="仿宋_GB2312" w:hAnsi="仿宋_GB2312" w:cs="仿宋_GB2312"/>
          <w:sz w:val="32"/>
          <w:szCs w:val="32"/>
        </w:rPr>
        <w:t xml:space="preserve"> </w:t>
      </w:r>
    </w:p>
    <w:p>
      <w:pPr>
        <w:widowControl/>
        <w:wordWrap w:val="0"/>
        <w:spacing w:line="360" w:lineRule="auto"/>
        <w:jc w:val="left"/>
        <w:rPr>
          <w:rFonts w:hint="eastAsia" w:ascii="仿宋_GB2312" w:hAnsi="仿宋_GB2312" w:cs="仿宋_GB2312"/>
          <w:b/>
          <w:bCs/>
          <w:color w:val="0000FF"/>
          <w:szCs w:val="32"/>
        </w:rPr>
      </w:pPr>
      <w:r>
        <w:rPr>
          <w:rFonts w:hint="eastAsia" w:ascii="仿宋_GB2312" w:hAnsi="仿宋_GB2312" w:cs="仿宋_GB2312"/>
          <w:b/>
          <w:bCs/>
          <w:color w:val="0000FF"/>
          <w:szCs w:val="32"/>
        </w:rPr>
        <w:t>主要内容应包括但不限于以下内容（格式自定）</w:t>
      </w:r>
    </w:p>
    <w:p>
      <w:pPr>
        <w:widowControl/>
        <w:wordWrap w:val="0"/>
        <w:jc w:val="left"/>
        <w:rPr>
          <w:rFonts w:hint="eastAsia" w:ascii="仿宋_GB2312" w:hAnsi="仿宋_GB2312" w:cs="仿宋_GB2312"/>
          <w:b/>
          <w:bCs/>
          <w:szCs w:val="32"/>
        </w:rPr>
      </w:pPr>
      <w:r>
        <w:rPr>
          <w:rFonts w:hint="eastAsia" w:ascii="仿宋_GB2312" w:hAnsi="仿宋_GB2312" w:cs="仿宋_GB2312"/>
          <w:b/>
          <w:bCs/>
          <w:szCs w:val="32"/>
        </w:rPr>
        <w:t>致深圳市</w:t>
      </w:r>
      <w:r>
        <w:rPr>
          <w:rFonts w:hint="eastAsia" w:ascii="仿宋_GB2312" w:hAnsi="仿宋_GB2312" w:cs="仿宋_GB2312"/>
          <w:b/>
          <w:bCs/>
          <w:szCs w:val="32"/>
          <w:lang w:eastAsia="zh-CN"/>
        </w:rPr>
        <w:t>退役军人事务局</w:t>
      </w:r>
      <w:r>
        <w:rPr>
          <w:rFonts w:hint="eastAsia" w:ascii="仿宋_GB2312" w:hAnsi="仿宋_GB2312" w:cs="仿宋_GB2312"/>
          <w:b/>
          <w:bCs/>
          <w:szCs w:val="32"/>
        </w:rPr>
        <w:t>：</w:t>
      </w:r>
    </w:p>
    <w:p>
      <w:pPr>
        <w:rPr>
          <w:rFonts w:hint="eastAsia" w:ascii="仿宋_GB2312" w:hAnsi="仿宋_GB2312" w:cs="仿宋_GB2312"/>
          <w:szCs w:val="32"/>
        </w:rPr>
      </w:pPr>
      <w:r>
        <w:rPr>
          <w:rFonts w:hint="eastAsia" w:ascii="仿宋_GB2312" w:hAnsi="仿宋_GB2312" w:cs="仿宋_GB2312"/>
          <w:szCs w:val="32"/>
        </w:rPr>
        <w:t xml:space="preserve"> </w:t>
      </w:r>
    </w:p>
    <w:p>
      <w:pPr>
        <w:pStyle w:val="3"/>
        <w:widowControl/>
        <w:spacing w:line="264" w:lineRule="atLeast"/>
        <w:ind w:firstLine="680" w:firstLineChars="200"/>
        <w:rPr>
          <w:rFonts w:hint="eastAsia" w:ascii="仿宋_GB2312" w:hAnsi="仿宋_GB2312" w:cs="仿宋_GB2312"/>
          <w:b/>
          <w:color w:val="FF0000"/>
          <w:sz w:val="32"/>
          <w:szCs w:val="32"/>
        </w:rPr>
      </w:pPr>
      <w:r>
        <w:rPr>
          <w:rFonts w:hint="eastAsia" w:ascii="仿宋_GB2312" w:hAnsi="仿宋_GB2312" w:cs="仿宋_GB2312"/>
          <w:sz w:val="32"/>
          <w:szCs w:val="32"/>
        </w:rPr>
        <w:t>根据《深圳市政府采购供应商诚信管理暂行办法》深财规〔2017〕8号相关规定，在参与贵</w:t>
      </w:r>
      <w:r>
        <w:rPr>
          <w:rFonts w:hint="eastAsia" w:ascii="仿宋_GB2312" w:hAnsi="仿宋_GB2312" w:cs="仿宋_GB2312"/>
          <w:sz w:val="32"/>
          <w:szCs w:val="32"/>
          <w:lang w:eastAsia="zh-CN"/>
        </w:rPr>
        <w:t>局</w:t>
      </w:r>
      <w:r>
        <w:rPr>
          <w:rFonts w:hint="eastAsia" w:ascii="仿宋_GB2312" w:hAnsi="仿宋_GB2312" w:cs="仿宋_GB2312"/>
          <w:sz w:val="32"/>
          <w:szCs w:val="32"/>
        </w:rPr>
        <w:t>组织的</w:t>
      </w:r>
      <w:r>
        <w:rPr>
          <w:rFonts w:hint="eastAsia" w:ascii="仿宋_GB2312" w:hAnsi="仿宋_GB2312" w:cs="仿宋_GB2312"/>
          <w:sz w:val="32"/>
          <w:szCs w:val="32"/>
          <w:u w:val="single"/>
        </w:rPr>
        <w:t xml:space="preserve">       （项目名称）    （项目编号：      ） </w:t>
      </w:r>
      <w:r>
        <w:rPr>
          <w:rFonts w:hint="eastAsia" w:ascii="仿宋_GB2312" w:hAnsi="仿宋_GB2312" w:cs="仿宋_GB2312"/>
          <w:sz w:val="32"/>
          <w:szCs w:val="32"/>
        </w:rPr>
        <w:t>政府采购活动中，我单位承诺：</w:t>
      </w:r>
      <w:r>
        <w:rPr>
          <w:rFonts w:hint="eastAsia" w:ascii="仿宋_GB2312" w:hAnsi="仿宋_GB2312" w:cs="仿宋_GB2312"/>
          <w:b/>
          <w:color w:val="FF0000"/>
          <w:sz w:val="32"/>
          <w:szCs w:val="32"/>
        </w:rPr>
        <w:t>本公司不存在违反《深圳市政府采购供应商诚信管理暂行办法》的情形。</w:t>
      </w:r>
    </w:p>
    <w:p>
      <w:pPr>
        <w:pStyle w:val="3"/>
        <w:widowControl/>
        <w:spacing w:line="264" w:lineRule="atLeast"/>
        <w:rPr>
          <w:rFonts w:hint="eastAsia" w:ascii="仿宋_GB2312" w:hAnsi="仿宋_GB2312" w:cs="仿宋_GB2312"/>
          <w:sz w:val="32"/>
          <w:szCs w:val="32"/>
        </w:rPr>
      </w:pPr>
      <w:r>
        <w:rPr>
          <w:rFonts w:hint="eastAsia" w:ascii="仿宋_GB2312" w:hAns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rPr>
          <w:rFonts w:hint="eastAsia" w:ascii="仿宋_GB2312" w:hAnsi="仿宋_GB2312" w:cs="仿宋_GB2312"/>
          <w:szCs w:val="32"/>
        </w:rPr>
      </w:pPr>
      <w:r>
        <w:rPr>
          <w:rFonts w:hint="eastAsia" w:ascii="仿宋_GB2312" w:hAnsi="仿宋_GB2312" w:cs="仿宋_GB2312"/>
          <w:szCs w:val="32"/>
        </w:rPr>
        <w:t xml:space="preserve">    特此承诺。</w:t>
      </w:r>
    </w:p>
    <w:p>
      <w:pPr>
        <w:rPr>
          <w:rFonts w:hint="eastAsia" w:ascii="仿宋_GB2312" w:hAnsi="仿宋_GB2312" w:cs="仿宋_GB2312"/>
          <w:szCs w:val="32"/>
        </w:rPr>
      </w:pPr>
    </w:p>
    <w:p>
      <w:pPr>
        <w:spacing w:line="360" w:lineRule="auto"/>
        <w:ind w:firstLine="4420" w:firstLineChars="1300"/>
        <w:jc w:val="left"/>
        <w:rPr>
          <w:rFonts w:hint="eastAsia" w:ascii="仿宋_GB2312" w:hAnsi="仿宋_GB2312" w:cs="仿宋_GB2312"/>
          <w:szCs w:val="32"/>
        </w:rPr>
      </w:pPr>
      <w:r>
        <w:rPr>
          <w:rFonts w:hint="eastAsia" w:ascii="仿宋_GB2312" w:hAnsi="仿宋_GB2312" w:cs="仿宋_GB2312"/>
          <w:szCs w:val="32"/>
        </w:rPr>
        <w:t xml:space="preserve">投标单位： </w:t>
      </w:r>
    </w:p>
    <w:p>
      <w:pPr>
        <w:spacing w:line="360" w:lineRule="auto"/>
        <w:ind w:firstLine="4420" w:firstLineChars="1300"/>
        <w:jc w:val="left"/>
        <w:rPr>
          <w:rFonts w:ascii="宋体" w:hAnsi="宋体"/>
        </w:rPr>
      </w:pPr>
      <w:r>
        <w:rPr>
          <w:rFonts w:hint="eastAsia" w:ascii="仿宋_GB2312" w:hAnsi="仿宋_GB2312" w:cs="仿宋_GB2312"/>
          <w:szCs w:val="32"/>
        </w:rPr>
        <w:t xml:space="preserve">日期： </w:t>
      </w:r>
      <w:r>
        <w:rPr>
          <w:rFonts w:hint="eastAsia" w:ascii="宋体" w:hAnsi="宋体"/>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354B5"/>
    <w:rsid w:val="2AEE7F29"/>
    <w:rsid w:val="78543609"/>
    <w:rsid w:val="78B1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禁止</cp:lastModifiedBy>
  <dcterms:modified xsi:type="dcterms:W3CDTF">2019-10-21T06:58:13Z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