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深圳市退役军人事务局系统内部审计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outlineLvl w:val="1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服务项目评标方法</w:t>
      </w:r>
      <w:bookmarkStart w:id="0" w:name="_GoBack"/>
      <w:bookmarkEnd w:id="0"/>
    </w:p>
    <w:p>
      <w:pPr>
        <w:spacing w:line="580" w:lineRule="exact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20" w:lineRule="exac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本项目评标方法为：综合评分法。</w:t>
      </w:r>
    </w:p>
    <w:p>
      <w:pPr>
        <w:spacing w:before="156" w:beforeLines="50" w:after="156" w:afterLines="50"/>
        <w:ind w:firstLine="413" w:firstLineChars="196"/>
        <w:jc w:val="center"/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413" w:firstLineChars="196"/>
        <w:jc w:val="center"/>
        <w:rPr>
          <w:rFonts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评分细则表</w:t>
      </w:r>
    </w:p>
    <w:tbl>
      <w:tblPr>
        <w:tblStyle w:val="7"/>
        <w:tblW w:w="94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768"/>
        <w:gridCol w:w="814"/>
        <w:gridCol w:w="4986"/>
        <w:gridCol w:w="12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79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  <w:t>评分项及评分规则</w:t>
            </w:r>
          </w:p>
        </w:tc>
        <w:tc>
          <w:tcPr>
            <w:tcW w:w="12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zh-CN"/>
              </w:rPr>
              <w:t>权重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179" w:type="dxa"/>
            <w:gridSpan w:val="4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zh-CN"/>
              </w:rPr>
              <w:t>一、技术部分</w:t>
            </w:r>
          </w:p>
        </w:tc>
        <w:tc>
          <w:tcPr>
            <w:tcW w:w="128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49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评分规则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spacing w:after="78"/>
              <w:jc w:val="center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对服务内容和服务要求的理解的评价</w:t>
            </w:r>
          </w:p>
        </w:tc>
        <w:tc>
          <w:tcPr>
            <w:tcW w:w="814" w:type="dxa"/>
            <w:vAlign w:val="center"/>
          </w:tcPr>
          <w:p>
            <w:pPr>
              <w:spacing w:after="78"/>
              <w:jc w:val="center"/>
              <w:rPr>
                <w:rFonts w:hint="default" w:asciiTheme="minorEastAsia" w:hAnsiTheme="minorEastAsia" w:eastAsiaTheme="minorEastAsia" w:cstheme="minorEastAsia"/>
                <w:color w:val="0D0D0D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D0D0D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986" w:type="dxa"/>
            <w:vAlign w:val="top"/>
          </w:tcPr>
          <w:p>
            <w:pPr>
              <w:spacing w:after="7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1.服务方案内容及要求包括但不限于：</w:t>
            </w:r>
          </w:p>
          <w:p>
            <w:pPr>
              <w:spacing w:after="7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（1）项目工作计划阐述是否完整、科学、合理；</w:t>
            </w:r>
          </w:p>
          <w:p>
            <w:pPr>
              <w:spacing w:after="7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（2）对项目需要完成的目标是否把握全面、清晰、准确；</w:t>
            </w:r>
          </w:p>
          <w:p>
            <w:pPr>
              <w:spacing w:after="7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）相关政策解读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专业深刻。</w:t>
            </w:r>
          </w:p>
          <w:p>
            <w:pPr>
              <w:spacing w:after="78"/>
              <w:rPr>
                <w:rFonts w:hint="eastAsia" w:asciiTheme="minorEastAsia" w:hAnsiTheme="minorEastAsia" w:eastAsiaTheme="minorEastAsia" w:cstheme="minorEastAsia"/>
                <w:color w:val="0D0D0D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评分规则：优秀得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分，良好得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分，中等得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分，其余不得分。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方案（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eastAsia="zh-CN"/>
              </w:rPr>
              <w:t>时间安排、人员安排、</w:t>
            </w: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highlight w:val="none"/>
                <w:lang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eastAsia="zh-CN"/>
              </w:rPr>
              <w:t>服务安排、质量控制制度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  <w:t>等）</w:t>
            </w:r>
          </w:p>
        </w:tc>
        <w:tc>
          <w:tcPr>
            <w:tcW w:w="814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86" w:type="dxa"/>
            <w:vAlign w:val="center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项目实施方案对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时间安排、人员安排、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服务安排、质量控制制度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及相关的合理化建议等方面进行评审。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评委根据供应商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响应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进行评价，分档打分：评价为优得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分；评价为良得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分；评价为中得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分；评价为差得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2、优良中差评分标准：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（1）投标文件响应内容全面；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（2）投标文件响应内容具体；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（3）投标文件响应内容针对性强；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（4）投标文件响应内容科学合理；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（5）投标文件响应内容可操作性强。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满足以上五项要求的评价为优；满足以上四项要求的评价为良；满足以上三项要求的评价为中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；其他情况为差。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eastAsia="zh-CN"/>
              </w:rPr>
            </w:pP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highlight w:val="none"/>
                <w:lang w:eastAsia="zh-CN"/>
              </w:rPr>
              <w:t>团队能力</w:t>
            </w:r>
          </w:p>
          <w:p>
            <w:pPr>
              <w:pStyle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14" w:type="dxa"/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8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招标项目团队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人员（除团队负责人）组成及学历、经验、能力评价；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评委根据供应商情况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进行评价，分档打分：评价为优得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分；评价为良得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分；评价为中得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分；评价为差得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2、优良中差评分标准：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）承接或者参与过政府单位或大型国企项目工作。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师及以上资质人员。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）具有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5年以上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工作经验。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满足以上三项要求的评价为优；满足以上二项要求的评价为良；满足以上一项要求的评价为中；其他情况为差。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68" w:type="dxa"/>
            <w:vAlign w:val="center"/>
          </w:tcPr>
          <w:p>
            <w:pPr>
              <w:pStyle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服务期内拟派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有审计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人员综合素质和服务经验评价</w:t>
            </w:r>
          </w:p>
        </w:tc>
        <w:tc>
          <w:tcPr>
            <w:tcW w:w="814" w:type="dxa"/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4986" w:type="dxa"/>
            <w:vAlign w:val="center"/>
          </w:tcPr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1、投标人中标后必须提供3名专业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人员派驻市退役军人事务局，派驻人员组成及学历、经验、能力评价；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评委根据供应商情况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进行评价，分档打分：评价为优得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分；评价为良得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分；评价为中得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分；评价为差得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分。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2、优良中差评分标准：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取得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初级资格证书。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3人均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在会计师事务所从事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职业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3年以上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一名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审计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从业经验二十年及以上人员。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至少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会计师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及以上资质人员。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3人均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自愿专职从事单位安排的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审计工作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及相关行政事务工作。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满足以上五项要求的评价为优；满足以上四项要求的评价为良；满足以上三项要求的评价为中；其他情况为差。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1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zh-CN"/>
              </w:rPr>
              <w:t>部分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/>
              </w:rPr>
              <w:t>权重</w:t>
            </w:r>
          </w:p>
        </w:tc>
        <w:tc>
          <w:tcPr>
            <w:tcW w:w="49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zh-CN"/>
              </w:rPr>
              <w:t>评分规则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行业资历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86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属于深圳市注册会计师协会发布的《深圳市2018年度广东省深圳市会计师事务所综合评价指标得分前50名》的单位得满分10分；不在上述排名内的，根据机构注册会计师数量、从业人员数量评比优秀得6分，良好得5分，合格得4分，其余不得分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相关资质证明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986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获得政府部门或行业协会颁发的关于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财会、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审计业务领域的资质证明；每获得1项得2分，总分不超过10分。（需提供相关证明材料）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  <w:t>同类项目业绩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4986" w:type="dxa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投标人在深圳市范围内有不同业主近两年（时间范围从本项目招标报价文件发布开始时间倒推），已完工同类项目案例（同一业主只算一个）3次或以上的，得10分。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投标人承办过1次的，得5分。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投标人承办过0次的，得0分。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证明文件：投标人须提供相关有效业绩的合同关键页或中标通知书（证明文件中须清晰体现项目签订时间、项目金额、项目内容等）复印件加盖投标人公章。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专家打分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三、价格部分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1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综合评分法中的价格分统一采用低价优先法计算,即满足招标文件要求且投标价格最低的投标报价为评标基准价,其价格分为满分。其他投标人的价格分统一按照下列公式计算：投标报价得分=(评标基准价/投标报价)×权重×100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注：为保证项目质量，投标人不得以低于成本的报价竞标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评分方式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  <w:t>按公式计算</w:t>
            </w:r>
          </w:p>
        </w:tc>
      </w:tr>
    </w:tbl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注：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1.每一项的得分均不能超过该项最高分值。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2. 缺项则该项为0分或不合格为0分。</w:t>
      </w:r>
    </w:p>
    <w:p>
      <w:pPr>
        <w:ind w:firstLine="420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3. 价格、技术、商务部分为针对项目具体情况设置项目，累加满分为100分。</w:t>
      </w:r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4. 综合以上</w:t>
      </w:r>
      <w:r>
        <w:rPr>
          <w:rFonts w:hint="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>分析比较，评委会将对各投标文件进行书面的量化评定，得分</w:t>
      </w:r>
      <w:r>
        <w:rPr>
          <w:rFonts w:ascii="Arial" w:hAnsi="Arial" w:cs="Arial"/>
          <w:snapToGrid w:val="0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精确到小数点后一位</w:t>
      </w:r>
      <w:r>
        <w:rPr>
          <w:rFonts w:hint="eastAsia" w:ascii="Arial" w:hAnsi="Arial" w:cs="Arial"/>
          <w:snapToGrid w:val="0"/>
          <w:color w:val="000000" w:themeColor="text1"/>
          <w:kern w:val="0"/>
          <w:szCs w:val="18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7ECE1A"/>
    <w:multiLevelType w:val="singleLevel"/>
    <w:tmpl w:val="887ECE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9E1886"/>
    <w:multiLevelType w:val="singleLevel"/>
    <w:tmpl w:val="A29E18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2F49"/>
    <w:rsid w:val="042B2F49"/>
    <w:rsid w:val="3B45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0"/>
      <w:szCs w:val="20"/>
      <w:lang w:val="zh-CN" w:eastAsia="zh-CN" w:bidi="zh-CN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2019-12-05T07:33:00Z</dcterms:created>
  <dc:creator>YC</dc:creator>
  <cp:lastModifiedBy>禁止</cp:lastModifiedBy>
  <dcterms:modified xsi:type="dcterms:W3CDTF">2019-12-05T08:53:08Z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