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11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8"/>
        <w:gridCol w:w="709"/>
        <w:gridCol w:w="1442"/>
        <w:gridCol w:w="7088"/>
        <w:gridCol w:w="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tblHeader/>
          <w:jc w:val="center"/>
        </w:trPr>
        <w:tc>
          <w:tcPr>
            <w:tcW w:w="1128" w:type="dxa"/>
            <w:noWrap w:val="0"/>
            <w:vAlign w:val="center"/>
          </w:tcPr>
          <w:p>
            <w:pPr>
              <w:spacing w:line="360" w:lineRule="auto"/>
              <w:jc w:val="center"/>
              <w:rPr>
                <w:rFonts w:ascii="宋体" w:hAnsi="宋体" w:eastAsia="宋体" w:cs="华文仿宋"/>
                <w:b/>
                <w:spacing w:val="-11"/>
                <w:sz w:val="21"/>
                <w:szCs w:val="21"/>
              </w:rPr>
            </w:pPr>
            <w:r>
              <w:rPr>
                <w:rFonts w:hint="eastAsia" w:ascii="宋体" w:hAnsi="宋体" w:eastAsia="宋体" w:cs="华文仿宋"/>
                <w:b/>
                <w:spacing w:val="-11"/>
                <w:sz w:val="21"/>
                <w:szCs w:val="21"/>
              </w:rPr>
              <w:t>评分因素</w:t>
            </w:r>
          </w:p>
        </w:tc>
        <w:tc>
          <w:tcPr>
            <w:tcW w:w="709" w:type="dxa"/>
            <w:noWrap w:val="0"/>
            <w:vAlign w:val="center"/>
          </w:tcPr>
          <w:p>
            <w:pPr>
              <w:spacing w:line="360" w:lineRule="auto"/>
              <w:jc w:val="center"/>
              <w:rPr>
                <w:rFonts w:ascii="宋体" w:hAnsi="宋体" w:eastAsia="宋体" w:cs="华文仿宋"/>
                <w:b/>
                <w:spacing w:val="-11"/>
                <w:sz w:val="21"/>
                <w:szCs w:val="21"/>
              </w:rPr>
            </w:pPr>
            <w:r>
              <w:rPr>
                <w:rFonts w:hint="eastAsia" w:ascii="宋体" w:hAnsi="宋体" w:eastAsia="宋体" w:cs="华文仿宋"/>
                <w:b/>
                <w:spacing w:val="-11"/>
                <w:sz w:val="21"/>
                <w:szCs w:val="21"/>
              </w:rPr>
              <w:t>分值</w:t>
            </w:r>
          </w:p>
        </w:tc>
        <w:tc>
          <w:tcPr>
            <w:tcW w:w="1442" w:type="dxa"/>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评分内容</w:t>
            </w:r>
          </w:p>
        </w:tc>
        <w:tc>
          <w:tcPr>
            <w:tcW w:w="7088" w:type="dxa"/>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评分标准</w:t>
            </w:r>
          </w:p>
        </w:tc>
        <w:tc>
          <w:tcPr>
            <w:tcW w:w="811" w:type="dxa"/>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87" w:hRule="atLeast"/>
          <w:jc w:val="center"/>
        </w:trPr>
        <w:tc>
          <w:tcPr>
            <w:tcW w:w="1128" w:type="dxa"/>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报价部分</w:t>
            </w:r>
          </w:p>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（A）</w:t>
            </w:r>
          </w:p>
        </w:tc>
        <w:tc>
          <w:tcPr>
            <w:tcW w:w="709" w:type="dxa"/>
            <w:noWrap w:val="0"/>
            <w:vAlign w:val="center"/>
          </w:tcPr>
          <w:p>
            <w:pPr>
              <w:spacing w:line="360" w:lineRule="auto"/>
              <w:jc w:val="center"/>
              <w:rPr>
                <w:rFonts w:ascii="宋体" w:hAnsi="宋体" w:eastAsia="宋体"/>
                <w:b/>
                <w:spacing w:val="-11"/>
                <w:sz w:val="21"/>
                <w:szCs w:val="21"/>
              </w:rPr>
            </w:pPr>
            <w:r>
              <w:rPr>
                <w:rFonts w:ascii="宋体" w:hAnsi="宋体" w:eastAsia="宋体"/>
                <w:b/>
                <w:spacing w:val="-11"/>
                <w:sz w:val="21"/>
                <w:szCs w:val="21"/>
              </w:rPr>
              <w:t>30</w:t>
            </w:r>
            <w:r>
              <w:rPr>
                <w:rFonts w:hint="eastAsia" w:ascii="宋体" w:hAnsi="宋体" w:eastAsia="宋体"/>
                <w:b/>
                <w:spacing w:val="-11"/>
                <w:sz w:val="21"/>
                <w:szCs w:val="21"/>
              </w:rPr>
              <w:t>分</w:t>
            </w:r>
          </w:p>
        </w:tc>
        <w:tc>
          <w:tcPr>
            <w:tcW w:w="1442" w:type="dxa"/>
            <w:noWrap w:val="0"/>
            <w:vAlign w:val="center"/>
          </w:tcPr>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报价得分</w:t>
            </w:r>
          </w:p>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w:t>
            </w:r>
            <w:r>
              <w:rPr>
                <w:rFonts w:ascii="宋体" w:hAnsi="宋体" w:eastAsia="宋体"/>
                <w:spacing w:val="-11"/>
                <w:sz w:val="21"/>
                <w:szCs w:val="21"/>
              </w:rPr>
              <w:t>30</w:t>
            </w:r>
            <w:r>
              <w:rPr>
                <w:rFonts w:hint="eastAsia" w:ascii="宋体" w:hAnsi="宋体" w:eastAsia="宋体"/>
                <w:spacing w:val="-11"/>
                <w:sz w:val="21"/>
                <w:szCs w:val="21"/>
              </w:rPr>
              <w:t>分）</w:t>
            </w:r>
          </w:p>
        </w:tc>
        <w:tc>
          <w:tcPr>
            <w:tcW w:w="7088" w:type="dxa"/>
            <w:noWrap w:val="0"/>
            <w:vAlign w:val="top"/>
          </w:tcPr>
          <w:p>
            <w:pPr>
              <w:spacing w:line="360" w:lineRule="auto"/>
              <w:rPr>
                <w:rFonts w:ascii="宋体" w:hAnsi="宋体" w:eastAsia="宋体"/>
                <w:spacing w:val="-11"/>
                <w:sz w:val="21"/>
                <w:szCs w:val="21"/>
              </w:rPr>
            </w:pPr>
            <w:r>
              <w:rPr>
                <w:rFonts w:hint="eastAsia" w:ascii="宋体" w:hAnsi="宋体" w:eastAsia="宋体"/>
                <w:spacing w:val="-11"/>
                <w:sz w:val="21"/>
                <w:szCs w:val="21"/>
              </w:rPr>
              <w:t>报价得分按照低价优先法计算，即满足采购招标需求且方案报价最低的投标人报价为评标基准价，其价格分为满分，其他供应商的价格得分统一按照下列公式计算：报价得分</w:t>
            </w:r>
            <w:r>
              <w:rPr>
                <w:rFonts w:ascii="宋体" w:hAnsi="宋体" w:eastAsia="宋体"/>
                <w:spacing w:val="-11"/>
                <w:sz w:val="21"/>
                <w:szCs w:val="21"/>
              </w:rPr>
              <w:t>=(</w:t>
            </w:r>
            <w:r>
              <w:rPr>
                <w:rFonts w:hint="eastAsia" w:ascii="宋体" w:hAnsi="宋体" w:eastAsia="宋体"/>
                <w:spacing w:val="-11"/>
                <w:sz w:val="21"/>
                <w:szCs w:val="21"/>
              </w:rPr>
              <w:t>评标基准价／方案报价</w:t>
            </w:r>
            <w:r>
              <w:rPr>
                <w:rFonts w:ascii="宋体" w:hAnsi="宋体" w:eastAsia="宋体"/>
                <w:spacing w:val="-11"/>
                <w:sz w:val="21"/>
                <w:szCs w:val="21"/>
              </w:rPr>
              <w:t>)</w:t>
            </w:r>
            <w:r>
              <w:rPr>
                <w:rFonts w:hint="eastAsia" w:ascii="宋体" w:hAnsi="宋体" w:eastAsia="宋体"/>
                <w:spacing w:val="-11"/>
                <w:sz w:val="21"/>
                <w:szCs w:val="21"/>
              </w:rPr>
              <w:t>×</w:t>
            </w:r>
            <w:r>
              <w:rPr>
                <w:rFonts w:ascii="宋体" w:hAnsi="宋体" w:eastAsia="宋体"/>
                <w:spacing w:val="-11"/>
                <w:sz w:val="21"/>
                <w:szCs w:val="21"/>
              </w:rPr>
              <w:t>30</w:t>
            </w:r>
          </w:p>
        </w:tc>
        <w:tc>
          <w:tcPr>
            <w:tcW w:w="811" w:type="dxa"/>
            <w:noWrap w:val="0"/>
            <w:vAlign w:val="top"/>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1128" w:type="dxa"/>
            <w:vMerge w:val="restart"/>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技术部分</w:t>
            </w:r>
          </w:p>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（B）</w:t>
            </w:r>
          </w:p>
        </w:tc>
        <w:tc>
          <w:tcPr>
            <w:tcW w:w="709" w:type="dxa"/>
            <w:vMerge w:val="restart"/>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40分</w:t>
            </w:r>
          </w:p>
        </w:tc>
        <w:tc>
          <w:tcPr>
            <w:tcW w:w="1442" w:type="dxa"/>
            <w:noWrap w:val="0"/>
            <w:vAlign w:val="center"/>
          </w:tcPr>
          <w:p>
            <w:pPr>
              <w:spacing w:line="360" w:lineRule="auto"/>
              <w:jc w:val="center"/>
              <w:rPr>
                <w:rFonts w:hint="eastAsia" w:ascii="宋体" w:hAnsi="宋体" w:eastAsia="宋体"/>
                <w:spacing w:val="-11"/>
                <w:sz w:val="21"/>
                <w:szCs w:val="21"/>
              </w:rPr>
            </w:pPr>
            <w:r>
              <w:rPr>
                <w:rFonts w:hint="eastAsia" w:ascii="宋体" w:hAnsi="宋体" w:eastAsia="宋体"/>
                <w:spacing w:val="-11"/>
                <w:sz w:val="21"/>
                <w:szCs w:val="21"/>
              </w:rPr>
              <w:t>B1：项目的认识和分析</w:t>
            </w:r>
            <w:r>
              <w:rPr>
                <w:rFonts w:ascii="宋体" w:hAnsi="宋体" w:eastAsia="宋体"/>
                <w:spacing w:val="-11"/>
                <w:sz w:val="21"/>
                <w:szCs w:val="21"/>
              </w:rPr>
              <w:t>得分</w:t>
            </w:r>
          </w:p>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（10分）</w:t>
            </w:r>
          </w:p>
        </w:tc>
        <w:tc>
          <w:tcPr>
            <w:tcW w:w="7088" w:type="dxa"/>
            <w:noWrap w:val="0"/>
            <w:vAlign w:val="top"/>
          </w:tcPr>
          <w:p>
            <w:pPr>
              <w:spacing w:line="360" w:lineRule="auto"/>
              <w:rPr>
                <w:rFonts w:ascii="宋体" w:hAnsi="宋体" w:eastAsia="宋体"/>
                <w:spacing w:val="-11"/>
                <w:sz w:val="21"/>
                <w:szCs w:val="21"/>
              </w:rPr>
            </w:pPr>
            <w:r>
              <w:rPr>
                <w:rFonts w:hint="eastAsia" w:ascii="宋体" w:hAnsi="宋体" w:eastAsia="宋体"/>
                <w:spacing w:val="-11"/>
                <w:sz w:val="21"/>
                <w:szCs w:val="21"/>
              </w:rPr>
              <w:t>根据投标人对深圳市军休服务管理中心军休干部讲师团工作的认识与分析、对应措施及合理建议、相关政策的宣传讲解方法与手段等情况进行评价，分档打分：评价为优的得满分；评价为良的得7分；评价为中的得3分；评价为差的，不得分。</w:t>
            </w:r>
          </w:p>
        </w:tc>
        <w:tc>
          <w:tcPr>
            <w:tcW w:w="811" w:type="dxa"/>
            <w:noWrap w:val="0"/>
            <w:vAlign w:val="top"/>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7" w:hRule="atLeast"/>
          <w:jc w:val="center"/>
        </w:trPr>
        <w:tc>
          <w:tcPr>
            <w:tcW w:w="1128" w:type="dxa"/>
            <w:vMerge w:val="continue"/>
            <w:noWrap w:val="0"/>
            <w:vAlign w:val="center"/>
          </w:tcPr>
          <w:p>
            <w:pPr>
              <w:spacing w:line="360" w:lineRule="auto"/>
              <w:jc w:val="center"/>
              <w:rPr>
                <w:rFonts w:hint="eastAsia" w:ascii="宋体" w:hAnsi="宋体" w:eastAsia="宋体"/>
                <w:b/>
                <w:spacing w:val="-11"/>
                <w:sz w:val="21"/>
                <w:szCs w:val="21"/>
              </w:rPr>
            </w:pPr>
          </w:p>
        </w:tc>
        <w:tc>
          <w:tcPr>
            <w:tcW w:w="709" w:type="dxa"/>
            <w:vMerge w:val="continue"/>
            <w:noWrap w:val="0"/>
            <w:vAlign w:val="center"/>
          </w:tcPr>
          <w:p>
            <w:pPr>
              <w:spacing w:line="360" w:lineRule="auto"/>
              <w:jc w:val="center"/>
              <w:rPr>
                <w:rFonts w:ascii="宋体" w:hAnsi="宋体" w:eastAsia="宋体"/>
                <w:b/>
                <w:spacing w:val="-11"/>
                <w:sz w:val="21"/>
                <w:szCs w:val="21"/>
              </w:rPr>
            </w:pPr>
          </w:p>
        </w:tc>
        <w:tc>
          <w:tcPr>
            <w:tcW w:w="1442" w:type="dxa"/>
            <w:noWrap w:val="0"/>
            <w:vAlign w:val="center"/>
          </w:tcPr>
          <w:p>
            <w:pPr>
              <w:spacing w:line="360" w:lineRule="auto"/>
              <w:jc w:val="center"/>
              <w:rPr>
                <w:rFonts w:hint="eastAsia" w:ascii="宋体" w:hAnsi="宋体" w:eastAsia="宋体"/>
                <w:spacing w:val="-11"/>
                <w:sz w:val="21"/>
                <w:szCs w:val="21"/>
              </w:rPr>
            </w:pPr>
            <w:r>
              <w:rPr>
                <w:rFonts w:hint="eastAsia" w:ascii="宋体" w:hAnsi="宋体" w:eastAsia="宋体"/>
                <w:spacing w:val="-11"/>
                <w:sz w:val="21"/>
                <w:szCs w:val="21"/>
              </w:rPr>
              <w:t>B2：实施</w:t>
            </w:r>
            <w:r>
              <w:rPr>
                <w:rFonts w:ascii="宋体" w:hAnsi="宋体" w:eastAsia="宋体"/>
                <w:spacing w:val="-11"/>
                <w:sz w:val="21"/>
                <w:szCs w:val="21"/>
              </w:rPr>
              <w:t>方案</w:t>
            </w:r>
          </w:p>
          <w:p>
            <w:pPr>
              <w:spacing w:line="360" w:lineRule="auto"/>
              <w:jc w:val="center"/>
              <w:rPr>
                <w:rFonts w:ascii="宋体" w:hAnsi="宋体" w:eastAsia="宋体"/>
                <w:spacing w:val="-11"/>
                <w:sz w:val="21"/>
                <w:szCs w:val="21"/>
              </w:rPr>
            </w:pPr>
            <w:r>
              <w:rPr>
                <w:rFonts w:ascii="宋体" w:hAnsi="宋体" w:eastAsia="宋体"/>
                <w:spacing w:val="-11"/>
                <w:sz w:val="21"/>
                <w:szCs w:val="21"/>
              </w:rPr>
              <w:t>得分</w:t>
            </w:r>
            <w:r>
              <w:rPr>
                <w:rFonts w:hint="eastAsia" w:ascii="宋体" w:hAnsi="宋体" w:eastAsia="宋体"/>
                <w:spacing w:val="-11"/>
                <w:sz w:val="21"/>
                <w:szCs w:val="21"/>
              </w:rPr>
              <w:t>（20</w:t>
            </w:r>
            <w:r>
              <w:rPr>
                <w:rFonts w:ascii="宋体" w:hAnsi="宋体" w:eastAsia="宋体"/>
                <w:spacing w:val="-11"/>
                <w:sz w:val="21"/>
                <w:szCs w:val="21"/>
              </w:rPr>
              <w:t>分</w:t>
            </w:r>
            <w:r>
              <w:rPr>
                <w:rFonts w:hint="eastAsia" w:ascii="宋体" w:hAnsi="宋体" w:eastAsia="宋体"/>
                <w:spacing w:val="-11"/>
                <w:sz w:val="21"/>
                <w:szCs w:val="21"/>
              </w:rPr>
              <w:t>）</w:t>
            </w:r>
          </w:p>
        </w:tc>
        <w:tc>
          <w:tcPr>
            <w:tcW w:w="7088" w:type="dxa"/>
            <w:noWrap w:val="0"/>
            <w:vAlign w:val="top"/>
          </w:tcPr>
          <w:p>
            <w:pPr>
              <w:spacing w:line="360" w:lineRule="auto"/>
              <w:rPr>
                <w:rFonts w:ascii="宋体" w:hAnsi="宋体" w:eastAsia="宋体"/>
                <w:spacing w:val="-11"/>
                <w:sz w:val="21"/>
                <w:szCs w:val="21"/>
              </w:rPr>
            </w:pPr>
            <w:r>
              <w:rPr>
                <w:rFonts w:hint="eastAsia" w:ascii="宋体" w:hAnsi="宋体" w:eastAsia="宋体"/>
                <w:spacing w:val="-11"/>
                <w:sz w:val="21"/>
                <w:szCs w:val="21"/>
              </w:rPr>
              <w:t>根据提供的本项目的方案，针对时间安排、人员安排，其他安排，经费预算等进行评价，分档打分：评价为优的得满分；评价为良的得12分；评价为中的得6分；评价为差的不得分。</w:t>
            </w:r>
          </w:p>
        </w:tc>
        <w:tc>
          <w:tcPr>
            <w:tcW w:w="811" w:type="dxa"/>
            <w:noWrap w:val="0"/>
            <w:vAlign w:val="top"/>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8" w:hRule="atLeast"/>
          <w:jc w:val="center"/>
        </w:trPr>
        <w:tc>
          <w:tcPr>
            <w:tcW w:w="1128" w:type="dxa"/>
            <w:vMerge w:val="continue"/>
            <w:noWrap w:val="0"/>
            <w:vAlign w:val="center"/>
          </w:tcPr>
          <w:p>
            <w:pPr>
              <w:spacing w:line="360" w:lineRule="auto"/>
              <w:jc w:val="center"/>
              <w:rPr>
                <w:rFonts w:ascii="宋体" w:hAnsi="宋体" w:eastAsia="宋体"/>
                <w:b/>
                <w:spacing w:val="-11"/>
                <w:sz w:val="21"/>
                <w:szCs w:val="21"/>
              </w:rPr>
            </w:pPr>
          </w:p>
        </w:tc>
        <w:tc>
          <w:tcPr>
            <w:tcW w:w="709" w:type="dxa"/>
            <w:vMerge w:val="continue"/>
            <w:noWrap w:val="0"/>
            <w:vAlign w:val="center"/>
          </w:tcPr>
          <w:p>
            <w:pPr>
              <w:spacing w:line="360" w:lineRule="auto"/>
              <w:jc w:val="center"/>
              <w:rPr>
                <w:rFonts w:ascii="宋体" w:hAnsi="宋体" w:eastAsia="宋体"/>
                <w:b/>
                <w:spacing w:val="-11"/>
                <w:sz w:val="21"/>
                <w:szCs w:val="21"/>
              </w:rPr>
            </w:pPr>
          </w:p>
        </w:tc>
        <w:tc>
          <w:tcPr>
            <w:tcW w:w="1442" w:type="dxa"/>
            <w:noWrap w:val="0"/>
            <w:vAlign w:val="center"/>
          </w:tcPr>
          <w:p>
            <w:pPr>
              <w:spacing w:line="360" w:lineRule="auto"/>
              <w:jc w:val="center"/>
              <w:rPr>
                <w:rFonts w:hint="eastAsia" w:ascii="宋体" w:hAnsi="宋体" w:eastAsia="宋体"/>
                <w:spacing w:val="-11"/>
                <w:sz w:val="21"/>
                <w:szCs w:val="21"/>
              </w:rPr>
            </w:pPr>
            <w:r>
              <w:rPr>
                <w:rFonts w:hint="eastAsia" w:ascii="宋体" w:hAnsi="宋体" w:eastAsia="宋体"/>
                <w:spacing w:val="-11"/>
                <w:sz w:val="21"/>
                <w:szCs w:val="21"/>
              </w:rPr>
              <w:t>B3：</w:t>
            </w:r>
            <w:r>
              <w:rPr>
                <w:rFonts w:ascii="宋体" w:hAnsi="宋体" w:eastAsia="宋体"/>
                <w:spacing w:val="-11"/>
                <w:sz w:val="21"/>
                <w:szCs w:val="21"/>
              </w:rPr>
              <w:t>团队</w:t>
            </w:r>
            <w:r>
              <w:rPr>
                <w:rFonts w:hint="eastAsia" w:ascii="宋体" w:hAnsi="宋体" w:eastAsia="宋体"/>
                <w:spacing w:val="-11"/>
                <w:sz w:val="21"/>
                <w:szCs w:val="21"/>
              </w:rPr>
              <w:t>能</w:t>
            </w:r>
            <w:r>
              <w:rPr>
                <w:rFonts w:ascii="宋体" w:hAnsi="宋体" w:eastAsia="宋体"/>
                <w:spacing w:val="-11"/>
                <w:sz w:val="21"/>
                <w:szCs w:val="21"/>
              </w:rPr>
              <w:t>力</w:t>
            </w:r>
          </w:p>
          <w:p>
            <w:pPr>
              <w:spacing w:line="360" w:lineRule="auto"/>
              <w:jc w:val="center"/>
              <w:rPr>
                <w:rFonts w:ascii="宋体" w:hAnsi="宋体" w:eastAsia="宋体"/>
                <w:spacing w:val="-11"/>
                <w:sz w:val="21"/>
                <w:szCs w:val="21"/>
              </w:rPr>
            </w:pPr>
            <w:r>
              <w:rPr>
                <w:rFonts w:ascii="宋体" w:hAnsi="宋体" w:eastAsia="宋体"/>
                <w:spacing w:val="-11"/>
                <w:sz w:val="21"/>
                <w:szCs w:val="21"/>
              </w:rPr>
              <w:t>得分</w:t>
            </w:r>
            <w:r>
              <w:rPr>
                <w:rFonts w:hint="eastAsia" w:ascii="宋体" w:hAnsi="宋体" w:eastAsia="宋体"/>
                <w:spacing w:val="-11"/>
                <w:sz w:val="21"/>
                <w:szCs w:val="21"/>
              </w:rPr>
              <w:t>（10</w:t>
            </w:r>
            <w:r>
              <w:rPr>
                <w:rFonts w:ascii="宋体" w:hAnsi="宋体" w:eastAsia="宋体"/>
                <w:spacing w:val="-11"/>
                <w:sz w:val="21"/>
                <w:szCs w:val="21"/>
              </w:rPr>
              <w:t>分</w:t>
            </w:r>
            <w:r>
              <w:rPr>
                <w:rFonts w:hint="eastAsia" w:ascii="宋体" w:hAnsi="宋体" w:eastAsia="宋体"/>
                <w:spacing w:val="-11"/>
                <w:sz w:val="21"/>
                <w:szCs w:val="21"/>
              </w:rPr>
              <w:t>）</w:t>
            </w:r>
          </w:p>
        </w:tc>
        <w:tc>
          <w:tcPr>
            <w:tcW w:w="7088" w:type="dxa"/>
            <w:noWrap w:val="0"/>
            <w:vAlign w:val="top"/>
          </w:tcPr>
          <w:p>
            <w:pPr>
              <w:spacing w:line="360" w:lineRule="auto"/>
              <w:rPr>
                <w:rFonts w:ascii="宋体" w:hAnsi="宋体" w:eastAsia="宋体"/>
                <w:spacing w:val="-11"/>
                <w:sz w:val="21"/>
                <w:szCs w:val="21"/>
              </w:rPr>
            </w:pPr>
            <w:r>
              <w:rPr>
                <w:rFonts w:hint="eastAsia" w:ascii="宋体" w:hAnsi="宋体" w:eastAsia="宋体"/>
                <w:spacing w:val="-11"/>
                <w:sz w:val="21"/>
                <w:szCs w:val="21"/>
              </w:rPr>
              <w:t>根据投标人针对本项目的项目负责人、团队人员组成及学历、经验、能力评价，承接或者参与过政府单位其他项目工作情况等进行评价，分档打分：评价为优的得满分；评价为良的得7分；评价为中的得4分；评价为差的不得分。</w:t>
            </w:r>
          </w:p>
        </w:tc>
        <w:tc>
          <w:tcPr>
            <w:tcW w:w="811" w:type="dxa"/>
            <w:noWrap w:val="0"/>
            <w:vAlign w:val="top"/>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1" w:hRule="atLeast"/>
          <w:jc w:val="center"/>
        </w:trPr>
        <w:tc>
          <w:tcPr>
            <w:tcW w:w="1128" w:type="dxa"/>
            <w:vMerge w:val="continue"/>
            <w:noWrap w:val="0"/>
            <w:vAlign w:val="center"/>
          </w:tcPr>
          <w:p>
            <w:pPr>
              <w:spacing w:line="360" w:lineRule="auto"/>
              <w:jc w:val="center"/>
              <w:rPr>
                <w:rFonts w:ascii="宋体" w:hAnsi="宋体" w:eastAsia="宋体"/>
                <w:b/>
                <w:spacing w:val="-11"/>
                <w:sz w:val="21"/>
                <w:szCs w:val="21"/>
              </w:rPr>
            </w:pPr>
          </w:p>
        </w:tc>
        <w:tc>
          <w:tcPr>
            <w:tcW w:w="9239" w:type="dxa"/>
            <w:gridSpan w:val="3"/>
            <w:noWrap w:val="0"/>
            <w:vAlign w:val="top"/>
          </w:tcPr>
          <w:p>
            <w:pPr>
              <w:spacing w:line="360" w:lineRule="auto"/>
              <w:textAlignment w:val="baseline"/>
              <w:rPr>
                <w:rFonts w:ascii="宋体" w:hAnsi="宋体" w:eastAsia="宋体"/>
                <w:spacing w:val="-11"/>
                <w:sz w:val="21"/>
                <w:szCs w:val="21"/>
              </w:rPr>
            </w:pPr>
            <w:r>
              <w:rPr>
                <w:rFonts w:hint="eastAsia" w:ascii="宋体" w:hAnsi="宋体" w:eastAsia="宋体"/>
                <w:spacing w:val="-11"/>
                <w:sz w:val="21"/>
                <w:szCs w:val="21"/>
              </w:rPr>
              <w:t>技术部分得分（B）=B</w:t>
            </w:r>
            <w:r>
              <w:rPr>
                <w:rFonts w:ascii="宋体" w:hAnsi="宋体" w:eastAsia="宋体"/>
                <w:spacing w:val="-11"/>
                <w:sz w:val="21"/>
                <w:szCs w:val="21"/>
              </w:rPr>
              <w:t>1+B2</w:t>
            </w:r>
            <w:r>
              <w:rPr>
                <w:rFonts w:hint="eastAsia" w:ascii="宋体" w:hAnsi="宋体" w:eastAsia="宋体"/>
                <w:spacing w:val="-11"/>
                <w:sz w:val="21"/>
                <w:szCs w:val="21"/>
              </w:rPr>
              <w:t>+B3</w:t>
            </w:r>
          </w:p>
        </w:tc>
        <w:tc>
          <w:tcPr>
            <w:tcW w:w="811" w:type="dxa"/>
            <w:noWrap w:val="0"/>
            <w:vAlign w:val="top"/>
          </w:tcPr>
          <w:p>
            <w:pPr>
              <w:spacing w:line="360" w:lineRule="auto"/>
              <w:textAlignment w:val="baseline"/>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87" w:hRule="atLeast"/>
          <w:jc w:val="center"/>
        </w:trPr>
        <w:tc>
          <w:tcPr>
            <w:tcW w:w="1128" w:type="dxa"/>
            <w:vMerge w:val="restart"/>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商务部分（C）</w:t>
            </w:r>
          </w:p>
        </w:tc>
        <w:tc>
          <w:tcPr>
            <w:tcW w:w="709" w:type="dxa"/>
            <w:vMerge w:val="restart"/>
            <w:noWrap w:val="0"/>
            <w:vAlign w:val="center"/>
          </w:tcPr>
          <w:p>
            <w:pPr>
              <w:spacing w:line="360" w:lineRule="auto"/>
              <w:jc w:val="center"/>
              <w:rPr>
                <w:rFonts w:ascii="宋体" w:hAnsi="宋体" w:eastAsia="宋体"/>
                <w:b/>
                <w:spacing w:val="-11"/>
                <w:sz w:val="21"/>
                <w:szCs w:val="21"/>
              </w:rPr>
            </w:pPr>
            <w:r>
              <w:rPr>
                <w:rFonts w:hint="eastAsia" w:ascii="宋体" w:hAnsi="宋体" w:eastAsia="宋体"/>
                <w:b/>
                <w:spacing w:val="-11"/>
                <w:sz w:val="21"/>
                <w:szCs w:val="21"/>
              </w:rPr>
              <w:t>30</w:t>
            </w:r>
          </w:p>
        </w:tc>
        <w:tc>
          <w:tcPr>
            <w:tcW w:w="1442" w:type="dxa"/>
            <w:noWrap w:val="0"/>
            <w:vAlign w:val="center"/>
          </w:tcPr>
          <w:p>
            <w:pPr>
              <w:spacing w:line="360" w:lineRule="auto"/>
              <w:jc w:val="center"/>
              <w:rPr>
                <w:rFonts w:ascii="宋体" w:hAnsi="宋体" w:eastAsia="宋体"/>
                <w:spacing w:val="-11"/>
                <w:sz w:val="21"/>
                <w:szCs w:val="21"/>
              </w:rPr>
            </w:pPr>
            <w:r>
              <w:rPr>
                <w:rFonts w:ascii="宋体" w:hAnsi="宋体" w:eastAsia="宋体"/>
                <w:spacing w:val="-11"/>
                <w:sz w:val="21"/>
                <w:szCs w:val="21"/>
              </w:rPr>
              <w:t>C1</w:t>
            </w:r>
            <w:r>
              <w:rPr>
                <w:rFonts w:hint="eastAsia" w:ascii="宋体" w:hAnsi="宋体" w:eastAsia="宋体"/>
                <w:spacing w:val="-11"/>
                <w:sz w:val="21"/>
                <w:szCs w:val="21"/>
              </w:rPr>
              <w:t>：同类项目业绩得分（10分）</w:t>
            </w:r>
          </w:p>
        </w:tc>
        <w:tc>
          <w:tcPr>
            <w:tcW w:w="7088" w:type="dxa"/>
            <w:noWrap w:val="0"/>
            <w:vAlign w:val="top"/>
          </w:tcPr>
          <w:p>
            <w:pPr>
              <w:spacing w:line="360" w:lineRule="auto"/>
              <w:rPr>
                <w:rFonts w:ascii="宋体" w:hAnsi="宋体" w:eastAsia="宋体"/>
                <w:spacing w:val="-11"/>
                <w:sz w:val="21"/>
                <w:szCs w:val="21"/>
              </w:rPr>
            </w:pPr>
            <w:r>
              <w:rPr>
                <w:rFonts w:hint="eastAsia" w:ascii="宋体" w:hAnsi="宋体" w:eastAsia="宋体"/>
                <w:spacing w:val="-11"/>
                <w:sz w:val="21"/>
                <w:szCs w:val="21"/>
              </w:rPr>
              <w:t>1.投标人承办过类似专职军休服务的社工服务项目案例的且该项目评价为“优或满意”的，得1</w:t>
            </w:r>
            <w:r>
              <w:rPr>
                <w:rFonts w:ascii="宋体" w:hAnsi="宋体" w:eastAsia="宋体"/>
                <w:spacing w:val="-11"/>
                <w:sz w:val="21"/>
                <w:szCs w:val="21"/>
              </w:rPr>
              <w:t>0</w:t>
            </w:r>
            <w:r>
              <w:rPr>
                <w:rFonts w:hint="eastAsia" w:ascii="宋体" w:hAnsi="宋体" w:eastAsia="宋体"/>
                <w:spacing w:val="-11"/>
                <w:sz w:val="21"/>
                <w:szCs w:val="21"/>
              </w:rPr>
              <w:t>分。</w:t>
            </w:r>
          </w:p>
          <w:p>
            <w:pPr>
              <w:spacing w:line="360" w:lineRule="auto"/>
              <w:rPr>
                <w:rFonts w:ascii="宋体" w:hAnsi="宋体" w:eastAsia="宋体"/>
                <w:spacing w:val="-11"/>
                <w:sz w:val="21"/>
                <w:szCs w:val="21"/>
              </w:rPr>
            </w:pPr>
            <w:r>
              <w:rPr>
                <w:rFonts w:hint="eastAsia" w:ascii="宋体" w:hAnsi="宋体" w:eastAsia="宋体"/>
                <w:spacing w:val="-11"/>
                <w:sz w:val="21"/>
                <w:szCs w:val="21"/>
              </w:rPr>
              <w:t>2.投标人承办过类似专职军休服务的社工服务项目案例的，得5分。</w:t>
            </w:r>
          </w:p>
          <w:p>
            <w:pPr>
              <w:spacing w:line="360" w:lineRule="auto"/>
              <w:rPr>
                <w:rFonts w:hint="eastAsia" w:ascii="宋体" w:hAnsi="宋体" w:eastAsia="宋体"/>
                <w:spacing w:val="-11"/>
                <w:sz w:val="21"/>
                <w:szCs w:val="21"/>
              </w:rPr>
            </w:pPr>
            <w:r>
              <w:rPr>
                <w:rFonts w:hint="eastAsia" w:ascii="宋体" w:hAnsi="宋体" w:eastAsia="宋体"/>
                <w:spacing w:val="-11"/>
                <w:sz w:val="21"/>
                <w:szCs w:val="21"/>
              </w:rPr>
              <w:t>3.投标人未承办过，得0分。</w:t>
            </w:r>
          </w:p>
          <w:p>
            <w:pPr>
              <w:spacing w:line="360" w:lineRule="auto"/>
              <w:rPr>
                <w:rFonts w:ascii="宋体" w:hAnsi="宋体" w:eastAsia="宋体"/>
                <w:spacing w:val="-11"/>
                <w:sz w:val="21"/>
                <w:szCs w:val="21"/>
              </w:rPr>
            </w:pPr>
            <w:r>
              <w:rPr>
                <w:rFonts w:hint="eastAsia" w:ascii="宋体" w:hAnsi="宋体" w:eastAsia="宋体"/>
                <w:spacing w:val="-11"/>
                <w:sz w:val="21"/>
                <w:szCs w:val="21"/>
              </w:rPr>
              <w:t>证明文件：投标人须提供相关有效业绩的合同关键页或中标通知书（证明文件中须清晰体现项目签订时间、项目金额、项目内容等）复印件加盖投标人公章。提供项目服务单位评价扫描件，项目服务单位评价原件备查，服务单位评价方须与合同甲方（采购方）一致。若合同甲方（采购方）有名称变更的，项目服务单位评价方须提供相关证明。如未按要求提供证明材料，或所提供的证明材料未能体现上述评分内容的，视为该证明材料无效。</w:t>
            </w:r>
          </w:p>
        </w:tc>
        <w:tc>
          <w:tcPr>
            <w:tcW w:w="811" w:type="dxa"/>
            <w:noWrap w:val="0"/>
            <w:vAlign w:val="top"/>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128" w:type="dxa"/>
            <w:vMerge w:val="continue"/>
            <w:noWrap w:val="0"/>
            <w:vAlign w:val="center"/>
          </w:tcPr>
          <w:p>
            <w:pPr>
              <w:spacing w:line="360" w:lineRule="auto"/>
              <w:jc w:val="center"/>
              <w:rPr>
                <w:rFonts w:ascii="宋体" w:hAnsi="宋体" w:eastAsia="宋体"/>
                <w:b/>
                <w:spacing w:val="-11"/>
                <w:sz w:val="21"/>
                <w:szCs w:val="21"/>
              </w:rPr>
            </w:pPr>
          </w:p>
        </w:tc>
        <w:tc>
          <w:tcPr>
            <w:tcW w:w="709" w:type="dxa"/>
            <w:vMerge w:val="continue"/>
            <w:noWrap w:val="0"/>
            <w:vAlign w:val="center"/>
          </w:tcPr>
          <w:p>
            <w:pPr>
              <w:spacing w:line="360" w:lineRule="auto"/>
              <w:jc w:val="center"/>
              <w:rPr>
                <w:rFonts w:ascii="宋体" w:hAnsi="宋体" w:eastAsia="宋体"/>
                <w:b/>
                <w:spacing w:val="-11"/>
                <w:sz w:val="21"/>
                <w:szCs w:val="21"/>
              </w:rPr>
            </w:pPr>
          </w:p>
        </w:tc>
        <w:tc>
          <w:tcPr>
            <w:tcW w:w="1442" w:type="dxa"/>
            <w:noWrap w:val="0"/>
            <w:vAlign w:val="center"/>
          </w:tcPr>
          <w:p>
            <w:pPr>
              <w:spacing w:line="360" w:lineRule="auto"/>
              <w:jc w:val="center"/>
              <w:rPr>
                <w:rFonts w:ascii="宋体" w:hAnsi="宋体" w:eastAsia="宋体"/>
                <w:spacing w:val="-11"/>
                <w:sz w:val="21"/>
                <w:szCs w:val="21"/>
              </w:rPr>
            </w:pPr>
            <w:r>
              <w:rPr>
                <w:rFonts w:ascii="宋体" w:hAnsi="宋体" w:eastAsia="宋体"/>
                <w:spacing w:val="-11"/>
                <w:sz w:val="21"/>
                <w:szCs w:val="21"/>
              </w:rPr>
              <w:t>C2</w:t>
            </w:r>
            <w:r>
              <w:rPr>
                <w:rFonts w:hint="eastAsia" w:ascii="宋体" w:hAnsi="宋体" w:eastAsia="宋体"/>
                <w:spacing w:val="-11"/>
                <w:sz w:val="21"/>
                <w:szCs w:val="21"/>
              </w:rPr>
              <w:t>：</w:t>
            </w:r>
            <w:r>
              <w:rPr>
                <w:rFonts w:ascii="宋体" w:hAnsi="宋体" w:eastAsia="宋体"/>
                <w:spacing w:val="-11"/>
                <w:sz w:val="21"/>
                <w:szCs w:val="21"/>
              </w:rPr>
              <w:t>社会组织评估情况</w:t>
            </w:r>
            <w:r>
              <w:rPr>
                <w:rFonts w:hint="eastAsia" w:ascii="宋体" w:hAnsi="宋体" w:eastAsia="宋体"/>
                <w:spacing w:val="-11"/>
                <w:sz w:val="21"/>
                <w:szCs w:val="21"/>
              </w:rPr>
              <w:t>得分</w:t>
            </w:r>
          </w:p>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w:t>
            </w:r>
            <w:r>
              <w:rPr>
                <w:rFonts w:ascii="宋体" w:hAnsi="宋体" w:eastAsia="宋体"/>
                <w:spacing w:val="-11"/>
                <w:sz w:val="21"/>
                <w:szCs w:val="21"/>
              </w:rPr>
              <w:t>10</w:t>
            </w:r>
            <w:r>
              <w:rPr>
                <w:rFonts w:hint="eastAsia" w:ascii="宋体" w:hAnsi="宋体" w:eastAsia="宋体"/>
                <w:spacing w:val="-11"/>
                <w:sz w:val="21"/>
                <w:szCs w:val="21"/>
              </w:rPr>
              <w:t>分）</w:t>
            </w:r>
          </w:p>
        </w:tc>
        <w:tc>
          <w:tcPr>
            <w:tcW w:w="7088" w:type="dxa"/>
            <w:noWrap w:val="0"/>
            <w:vAlign w:val="top"/>
          </w:tcPr>
          <w:p>
            <w:pPr>
              <w:spacing w:line="360" w:lineRule="auto"/>
              <w:rPr>
                <w:rFonts w:hint="eastAsia" w:ascii="宋体" w:hAnsi="宋体" w:eastAsia="宋体"/>
                <w:spacing w:val="-11"/>
                <w:sz w:val="21"/>
                <w:szCs w:val="21"/>
              </w:rPr>
            </w:pPr>
            <w:r>
              <w:rPr>
                <w:rFonts w:hint="eastAsia" w:ascii="宋体" w:hAnsi="宋体" w:eastAsia="宋体"/>
                <w:spacing w:val="-11"/>
                <w:sz w:val="21"/>
                <w:szCs w:val="21"/>
              </w:rPr>
              <w:t>投标人参加民政部门组织的社会组织等级评估，社会组织评估结果为 3A 级的得 6 分，为 4A 级的得 8 分，为 5A 级的得 10 分，其它情况不得分。</w:t>
            </w:r>
          </w:p>
          <w:p>
            <w:pPr>
              <w:spacing w:line="360" w:lineRule="auto"/>
              <w:rPr>
                <w:rFonts w:ascii="宋体" w:hAnsi="宋体" w:eastAsia="宋体"/>
                <w:spacing w:val="-11"/>
                <w:sz w:val="21"/>
                <w:szCs w:val="21"/>
              </w:rPr>
            </w:pPr>
            <w:r>
              <w:rPr>
                <w:rFonts w:hint="eastAsia" w:ascii="宋体" w:hAnsi="宋体" w:eastAsia="宋体"/>
                <w:spacing w:val="-11"/>
                <w:sz w:val="21"/>
                <w:szCs w:val="21"/>
              </w:rPr>
              <w:t>证明材料：提供相关证书（证书须在有效期内）扫描件，原件备查，未提供不得分。</w:t>
            </w:r>
          </w:p>
        </w:tc>
        <w:tc>
          <w:tcPr>
            <w:tcW w:w="811" w:type="dxa"/>
            <w:noWrap w:val="0"/>
            <w:vAlign w:val="top"/>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9" w:hRule="atLeast"/>
          <w:jc w:val="center"/>
        </w:trPr>
        <w:tc>
          <w:tcPr>
            <w:tcW w:w="1128" w:type="dxa"/>
            <w:vMerge w:val="continue"/>
            <w:noWrap w:val="0"/>
            <w:vAlign w:val="center"/>
          </w:tcPr>
          <w:p>
            <w:pPr>
              <w:spacing w:line="360" w:lineRule="auto"/>
              <w:jc w:val="center"/>
              <w:rPr>
                <w:rFonts w:ascii="宋体" w:hAnsi="宋体" w:eastAsia="宋体"/>
                <w:b/>
                <w:spacing w:val="-11"/>
                <w:sz w:val="21"/>
                <w:szCs w:val="21"/>
              </w:rPr>
            </w:pPr>
          </w:p>
        </w:tc>
        <w:tc>
          <w:tcPr>
            <w:tcW w:w="709" w:type="dxa"/>
            <w:vMerge w:val="continue"/>
            <w:noWrap w:val="0"/>
            <w:vAlign w:val="center"/>
          </w:tcPr>
          <w:p>
            <w:pPr>
              <w:spacing w:line="360" w:lineRule="auto"/>
              <w:jc w:val="center"/>
              <w:rPr>
                <w:rFonts w:ascii="宋体" w:hAnsi="宋体" w:eastAsia="宋体"/>
                <w:b/>
                <w:spacing w:val="-11"/>
                <w:sz w:val="21"/>
                <w:szCs w:val="21"/>
              </w:rPr>
            </w:pPr>
          </w:p>
        </w:tc>
        <w:tc>
          <w:tcPr>
            <w:tcW w:w="1442" w:type="dxa"/>
            <w:noWrap w:val="0"/>
            <w:vAlign w:val="center"/>
          </w:tcPr>
          <w:p>
            <w:pPr>
              <w:spacing w:line="360" w:lineRule="auto"/>
              <w:jc w:val="center"/>
              <w:rPr>
                <w:rFonts w:ascii="宋体" w:hAnsi="宋体" w:eastAsia="宋体"/>
                <w:spacing w:val="-11"/>
                <w:sz w:val="21"/>
                <w:szCs w:val="21"/>
              </w:rPr>
            </w:pPr>
          </w:p>
          <w:p>
            <w:pPr>
              <w:spacing w:line="360" w:lineRule="auto"/>
              <w:jc w:val="center"/>
              <w:rPr>
                <w:rFonts w:hint="eastAsia" w:ascii="宋体" w:hAnsi="宋体" w:eastAsia="宋体"/>
                <w:spacing w:val="-11"/>
                <w:sz w:val="21"/>
                <w:szCs w:val="21"/>
              </w:rPr>
            </w:pPr>
            <w:r>
              <w:rPr>
                <w:rFonts w:ascii="宋体" w:hAnsi="宋体" w:eastAsia="宋体"/>
                <w:spacing w:val="-11"/>
                <w:sz w:val="21"/>
                <w:szCs w:val="21"/>
              </w:rPr>
              <w:t>C</w:t>
            </w:r>
            <w:r>
              <w:rPr>
                <w:rFonts w:hint="eastAsia" w:ascii="宋体" w:hAnsi="宋体" w:eastAsia="宋体"/>
                <w:spacing w:val="-11"/>
                <w:sz w:val="21"/>
                <w:szCs w:val="21"/>
              </w:rPr>
              <w:t>3：诚信情况</w:t>
            </w:r>
          </w:p>
          <w:p>
            <w:pPr>
              <w:spacing w:line="360" w:lineRule="auto"/>
              <w:jc w:val="center"/>
              <w:rPr>
                <w:rFonts w:ascii="宋体" w:hAnsi="宋体" w:eastAsia="宋体"/>
                <w:spacing w:val="-11"/>
                <w:sz w:val="21"/>
                <w:szCs w:val="21"/>
              </w:rPr>
            </w:pPr>
            <w:r>
              <w:rPr>
                <w:rFonts w:hint="eastAsia" w:ascii="宋体" w:hAnsi="宋体" w:eastAsia="宋体"/>
                <w:spacing w:val="-11"/>
                <w:sz w:val="21"/>
                <w:szCs w:val="21"/>
              </w:rPr>
              <w:t>得分（5分）</w:t>
            </w:r>
          </w:p>
        </w:tc>
        <w:tc>
          <w:tcPr>
            <w:tcW w:w="7088" w:type="dxa"/>
            <w:noWrap w:val="0"/>
            <w:vAlign w:val="top"/>
          </w:tcPr>
          <w:p>
            <w:pPr>
              <w:spacing w:line="360" w:lineRule="auto"/>
              <w:rPr>
                <w:rFonts w:ascii="宋体" w:hAnsi="宋体" w:eastAsia="宋体"/>
                <w:spacing w:val="-11"/>
                <w:sz w:val="21"/>
                <w:szCs w:val="21"/>
              </w:rPr>
            </w:pPr>
            <w:r>
              <w:rPr>
                <w:rFonts w:hint="eastAsia" w:ascii="宋体" w:hAnsi="宋体" w:eastAsia="宋体"/>
                <w:spacing w:val="-11"/>
                <w:sz w:val="21"/>
                <w:szCs w:val="21"/>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11" w:type="dxa"/>
            <w:noWrap w:val="0"/>
            <w:vAlign w:val="top"/>
          </w:tcPr>
          <w:p>
            <w:pPr>
              <w:spacing w:line="360" w:lineRule="auto"/>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jc w:val="center"/>
        </w:trPr>
        <w:tc>
          <w:tcPr>
            <w:tcW w:w="1128" w:type="dxa"/>
            <w:vMerge w:val="continue"/>
            <w:noWrap w:val="0"/>
            <w:vAlign w:val="center"/>
          </w:tcPr>
          <w:p>
            <w:pPr>
              <w:widowControl/>
              <w:spacing w:line="320" w:lineRule="exact"/>
              <w:jc w:val="center"/>
              <w:rPr>
                <w:rFonts w:ascii="宋体" w:hAnsi="宋体" w:eastAsia="宋体"/>
                <w:b/>
                <w:spacing w:val="-11"/>
                <w:sz w:val="21"/>
                <w:szCs w:val="21"/>
              </w:rPr>
            </w:pPr>
          </w:p>
        </w:tc>
        <w:tc>
          <w:tcPr>
            <w:tcW w:w="709" w:type="dxa"/>
            <w:vMerge w:val="continue"/>
            <w:noWrap w:val="0"/>
            <w:vAlign w:val="center"/>
          </w:tcPr>
          <w:p>
            <w:pPr>
              <w:widowControl/>
              <w:spacing w:line="320" w:lineRule="exact"/>
              <w:jc w:val="center"/>
              <w:rPr>
                <w:rFonts w:ascii="宋体" w:hAnsi="宋体" w:eastAsia="宋体"/>
                <w:b/>
                <w:spacing w:val="-11"/>
                <w:sz w:val="21"/>
                <w:szCs w:val="21"/>
              </w:rPr>
            </w:pPr>
          </w:p>
        </w:tc>
        <w:tc>
          <w:tcPr>
            <w:tcW w:w="8530" w:type="dxa"/>
            <w:gridSpan w:val="2"/>
            <w:noWrap w:val="0"/>
            <w:vAlign w:val="center"/>
          </w:tcPr>
          <w:p>
            <w:pPr>
              <w:spacing w:line="320" w:lineRule="exact"/>
              <w:ind w:left="376" w:hanging="376" w:hangingChars="200"/>
              <w:jc w:val="center"/>
              <w:rPr>
                <w:rFonts w:ascii="宋体" w:hAnsi="宋体" w:eastAsia="宋体" w:cs="华文仿宋"/>
                <w:spacing w:val="-11"/>
                <w:sz w:val="21"/>
                <w:szCs w:val="21"/>
              </w:rPr>
            </w:pPr>
            <w:r>
              <w:rPr>
                <w:rFonts w:hint="eastAsia" w:ascii="宋体" w:hAnsi="宋体" w:eastAsia="宋体"/>
                <w:spacing w:val="-11"/>
                <w:sz w:val="21"/>
                <w:szCs w:val="21"/>
              </w:rPr>
              <w:t>商务部分得分（</w:t>
            </w:r>
            <w:r>
              <w:rPr>
                <w:rFonts w:ascii="宋体" w:hAnsi="宋体" w:eastAsia="宋体"/>
                <w:spacing w:val="-11"/>
                <w:sz w:val="21"/>
                <w:szCs w:val="21"/>
              </w:rPr>
              <w:t>C</w:t>
            </w:r>
            <w:r>
              <w:rPr>
                <w:rFonts w:hint="eastAsia" w:ascii="宋体" w:hAnsi="宋体" w:eastAsia="宋体"/>
                <w:spacing w:val="-11"/>
                <w:sz w:val="21"/>
                <w:szCs w:val="21"/>
              </w:rPr>
              <w:t>）=</w:t>
            </w:r>
            <w:r>
              <w:rPr>
                <w:rFonts w:ascii="宋体" w:hAnsi="宋体" w:eastAsia="宋体"/>
                <w:spacing w:val="-11"/>
                <w:sz w:val="21"/>
                <w:szCs w:val="21"/>
              </w:rPr>
              <w:t>C1</w:t>
            </w:r>
            <w:r>
              <w:rPr>
                <w:rFonts w:hint="eastAsia" w:ascii="宋体" w:hAnsi="宋体" w:eastAsia="宋体"/>
                <w:spacing w:val="-11"/>
                <w:sz w:val="21"/>
                <w:szCs w:val="21"/>
              </w:rPr>
              <w:t>+</w:t>
            </w:r>
            <w:r>
              <w:rPr>
                <w:rFonts w:ascii="宋体" w:hAnsi="宋体" w:eastAsia="宋体"/>
                <w:spacing w:val="-11"/>
                <w:sz w:val="21"/>
                <w:szCs w:val="21"/>
              </w:rPr>
              <w:t>C</w:t>
            </w:r>
            <w:r>
              <w:rPr>
                <w:rFonts w:hint="eastAsia" w:ascii="宋体" w:hAnsi="宋体" w:eastAsia="宋体"/>
                <w:spacing w:val="-11"/>
                <w:sz w:val="21"/>
                <w:szCs w:val="21"/>
              </w:rPr>
              <w:t>2+</w:t>
            </w:r>
            <w:r>
              <w:rPr>
                <w:rFonts w:ascii="宋体" w:hAnsi="宋体" w:eastAsia="宋体"/>
                <w:spacing w:val="-11"/>
                <w:sz w:val="21"/>
                <w:szCs w:val="21"/>
              </w:rPr>
              <w:t>C</w:t>
            </w:r>
            <w:r>
              <w:rPr>
                <w:rFonts w:hint="eastAsia" w:ascii="宋体" w:hAnsi="宋体" w:eastAsia="宋体"/>
                <w:spacing w:val="-11"/>
                <w:sz w:val="21"/>
                <w:szCs w:val="21"/>
              </w:rPr>
              <w:t>3</w:t>
            </w:r>
          </w:p>
        </w:tc>
        <w:tc>
          <w:tcPr>
            <w:tcW w:w="811" w:type="dxa"/>
            <w:noWrap w:val="0"/>
            <w:vAlign w:val="top"/>
          </w:tcPr>
          <w:p>
            <w:pPr>
              <w:spacing w:line="320" w:lineRule="exact"/>
              <w:ind w:left="376" w:hanging="376" w:hangingChars="200"/>
              <w:rPr>
                <w:rFonts w:ascii="宋体" w:hAnsi="宋体" w:eastAsia="宋体"/>
                <w:spacing w:val="-11"/>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 w:hRule="atLeast"/>
          <w:jc w:val="center"/>
        </w:trPr>
        <w:tc>
          <w:tcPr>
            <w:tcW w:w="10367" w:type="dxa"/>
            <w:gridSpan w:val="4"/>
            <w:noWrap w:val="0"/>
            <w:vAlign w:val="center"/>
          </w:tcPr>
          <w:p>
            <w:pPr>
              <w:spacing w:line="320" w:lineRule="exact"/>
              <w:jc w:val="center"/>
              <w:rPr>
                <w:rFonts w:ascii="宋体" w:hAnsi="宋体" w:eastAsia="宋体" w:cs="华文仿宋"/>
                <w:b/>
                <w:spacing w:val="-11"/>
                <w:sz w:val="21"/>
                <w:szCs w:val="21"/>
              </w:rPr>
            </w:pPr>
            <w:r>
              <w:rPr>
                <w:rFonts w:hint="eastAsia" w:ascii="宋体" w:hAnsi="宋体" w:eastAsia="宋体" w:cs="华文仿宋"/>
                <w:b/>
                <w:spacing w:val="-11"/>
                <w:sz w:val="21"/>
                <w:szCs w:val="21"/>
              </w:rPr>
              <w:t>评标总得分 Z = A + B + C</w:t>
            </w:r>
          </w:p>
        </w:tc>
        <w:tc>
          <w:tcPr>
            <w:tcW w:w="811" w:type="dxa"/>
            <w:noWrap w:val="0"/>
            <w:vAlign w:val="center"/>
          </w:tcPr>
          <w:p>
            <w:pPr>
              <w:spacing w:line="320" w:lineRule="exact"/>
              <w:jc w:val="center"/>
              <w:rPr>
                <w:rFonts w:ascii="宋体" w:hAnsi="宋体" w:eastAsia="宋体" w:cs="华文仿宋"/>
                <w:b/>
                <w:spacing w:val="-11"/>
                <w:sz w:val="21"/>
                <w:szCs w:val="21"/>
              </w:rPr>
            </w:pPr>
          </w:p>
        </w:tc>
      </w:tr>
    </w:tbl>
    <w:p>
      <w:pPr>
        <w:rPr>
          <w:rFonts w:hint="eastAsia" w:eastAsiaTheme="minorEastAsia"/>
          <w:lang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7B0B09"/>
    <w:rsid w:val="677B0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spacing w:val="10"/>
      <w:kern w:val="2"/>
      <w:sz w:val="32"/>
      <w:szCs w:val="22"/>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2019-12-05T10:25:00Z</dcterms:created>
  <dc:creator>陆春丰</dc:creator>
  <cp:lastModifiedBy>陆春丰</cp:lastModifiedBy>
  <dcterms:modified xsi:type="dcterms:W3CDTF">2019-12-05T10:26:13Z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