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jc w:val="left"/>
        <w:rPr>
          <w:rFonts w:ascii="黑体" w:hAnsi="宋体" w:eastAsia="黑体" w:cs="黑体"/>
        </w:rPr>
      </w:pPr>
      <w:r>
        <w:rPr>
          <w:rFonts w:hint="eastAsia" w:ascii="黑体" w:hAnsi="宋体" w:eastAsia="黑体" w:cs="黑体"/>
        </w:rPr>
        <w:t>附件1</w:t>
      </w:r>
    </w:p>
    <w:p>
      <w:pPr>
        <w:spacing w:line="720" w:lineRule="exact"/>
        <w:ind w:firstLine="920" w:firstLineChars="200"/>
        <w:jc w:val="center"/>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法律顾问服务项目</w:t>
      </w:r>
    </w:p>
    <w:p>
      <w:pPr>
        <w:spacing w:line="720" w:lineRule="exact"/>
        <w:ind w:firstLine="920" w:firstLineChars="200"/>
        <w:jc w:val="center"/>
        <w:rPr>
          <w:rFonts w:hint="eastAsia" w:ascii="仿宋_GB2312" w:hAnsi="仿宋_GB2312" w:eastAsia="方正小标宋简体" w:cs="仿宋_GB2312"/>
          <w:kern w:val="0"/>
          <w:szCs w:val="32"/>
          <w:lang w:val="en-US" w:eastAsia="zh-CN"/>
        </w:rPr>
      </w:pPr>
      <w:r>
        <w:rPr>
          <w:rFonts w:hint="eastAsia" w:ascii="方正小标宋简体" w:hAnsi="方正小标宋简体" w:eastAsia="方正小标宋简体" w:cs="方正小标宋简体"/>
          <w:kern w:val="0"/>
          <w:sz w:val="44"/>
          <w:szCs w:val="44"/>
          <w:lang w:val="en-US" w:eastAsia="zh-CN"/>
        </w:rPr>
        <w:t>招标评分表</w:t>
      </w:r>
    </w:p>
    <w:p>
      <w:pPr>
        <w:spacing w:line="560" w:lineRule="exact"/>
        <w:ind w:firstLine="680" w:firstLineChars="200"/>
        <w:rPr>
          <w:rFonts w:hint="eastAsia" w:ascii="仿宋_GB2312" w:hAnsi="仿宋_GB2312" w:cs="仿宋_GB2312"/>
          <w:kern w:val="0"/>
          <w:szCs w:val="32"/>
        </w:rPr>
      </w:pPr>
    </w:p>
    <w:p>
      <w:pPr>
        <w:spacing w:line="560" w:lineRule="exact"/>
        <w:ind w:firstLine="640" w:firstLineChars="200"/>
        <w:rPr>
          <w:rFonts w:hint="eastAsia"/>
        </w:rPr>
      </w:pPr>
      <w:r>
        <w:rPr>
          <w:rFonts w:ascii="仿宋_GB2312" w:hAnsi="宋体" w:cs="仿宋_GB2312"/>
          <w:color w:val="000000"/>
          <w:spacing w:val="0"/>
          <w:szCs w:val="32"/>
          <w:shd w:val="clear" w:color="auto" w:fill="FFFFFF"/>
        </w:rPr>
        <w:t>评标方法为综合评分法，具体评分标准和规则为：</w:t>
      </w:r>
      <w:r>
        <w:rPr>
          <w:rFonts w:hint="eastAsia" w:ascii="仿宋_GB2312" w:hAnsi="宋体" w:cs="仿宋_GB2312"/>
          <w:color w:val="000000"/>
          <w:spacing w:val="0"/>
          <w:szCs w:val="32"/>
          <w:shd w:val="clear" w:color="auto" w:fill="FFFFFF"/>
        </w:rPr>
        <w:t>从商务</w:t>
      </w:r>
      <w:r>
        <w:rPr>
          <w:rFonts w:hint="eastAsia" w:ascii="仿宋_GB2312" w:hAnsi="宋体" w:cs="仿宋_GB2312"/>
          <w:color w:val="000000"/>
          <w:spacing w:val="0"/>
          <w:szCs w:val="32"/>
          <w:shd w:val="clear" w:color="auto" w:fill="FFFFFF"/>
          <w:lang w:eastAsia="zh-CN"/>
        </w:rPr>
        <w:t>、</w:t>
      </w:r>
      <w:r>
        <w:rPr>
          <w:rFonts w:hint="eastAsia" w:ascii="仿宋_GB2312" w:hAnsi="宋体" w:cs="仿宋_GB2312"/>
          <w:color w:val="000000"/>
          <w:spacing w:val="0"/>
          <w:szCs w:val="32"/>
          <w:shd w:val="clear" w:color="auto" w:fill="FFFFFF"/>
        </w:rPr>
        <w:t>技术</w:t>
      </w:r>
      <w:r>
        <w:rPr>
          <w:rFonts w:hint="eastAsia" w:ascii="仿宋_GB2312" w:hAnsi="宋体" w:cs="仿宋_GB2312"/>
          <w:color w:val="000000"/>
          <w:spacing w:val="0"/>
          <w:szCs w:val="32"/>
          <w:shd w:val="clear" w:color="auto" w:fill="FFFFFF"/>
          <w:lang w:eastAsia="zh-CN"/>
        </w:rPr>
        <w:t>、</w:t>
      </w:r>
      <w:r>
        <w:rPr>
          <w:rFonts w:hint="eastAsia" w:ascii="仿宋_GB2312" w:hAnsi="宋体" w:cs="仿宋_GB2312"/>
          <w:color w:val="000000"/>
          <w:spacing w:val="0"/>
          <w:szCs w:val="32"/>
          <w:shd w:val="clear" w:color="auto" w:fill="FFFFFF"/>
          <w:lang w:val="en-US" w:eastAsia="zh-CN"/>
        </w:rPr>
        <w:t>政策和</w:t>
      </w:r>
      <w:r>
        <w:rPr>
          <w:rFonts w:hint="eastAsia" w:ascii="仿宋_GB2312" w:hAnsi="宋体" w:cs="仿宋_GB2312"/>
          <w:color w:val="000000"/>
          <w:spacing w:val="0"/>
          <w:szCs w:val="32"/>
          <w:shd w:val="clear" w:color="auto" w:fill="FFFFFF"/>
        </w:rPr>
        <w:t>价格</w:t>
      </w:r>
      <w:r>
        <w:rPr>
          <w:rFonts w:hint="eastAsia" w:ascii="仿宋_GB2312" w:hAnsi="宋体" w:cs="仿宋_GB2312"/>
          <w:color w:val="000000"/>
          <w:spacing w:val="0"/>
          <w:szCs w:val="32"/>
          <w:shd w:val="clear" w:color="auto" w:fill="FFFFFF"/>
          <w:lang w:val="en-US" w:eastAsia="zh-CN"/>
        </w:rPr>
        <w:t>四</w:t>
      </w:r>
      <w:r>
        <w:rPr>
          <w:rFonts w:hint="eastAsia" w:ascii="仿宋_GB2312" w:hAnsi="宋体" w:cs="仿宋_GB2312"/>
          <w:color w:val="000000"/>
          <w:spacing w:val="0"/>
          <w:szCs w:val="32"/>
          <w:shd w:val="clear" w:color="auto" w:fill="FFFFFF"/>
        </w:rPr>
        <w:t>个</w:t>
      </w:r>
      <w:r>
        <w:rPr>
          <w:rFonts w:hint="eastAsia" w:ascii="仿宋_GB2312" w:hAnsi="宋体" w:cs="仿宋_GB2312"/>
          <w:color w:val="000000"/>
          <w:spacing w:val="0"/>
          <w:szCs w:val="32"/>
          <w:shd w:val="clear" w:color="auto" w:fill="FFFFFF"/>
          <w:lang w:val="en-US" w:eastAsia="zh-CN"/>
        </w:rPr>
        <w:t>部分</w:t>
      </w:r>
      <w:r>
        <w:rPr>
          <w:rFonts w:hint="eastAsia" w:ascii="仿宋_GB2312" w:hAnsi="宋体" w:cs="仿宋_GB2312"/>
          <w:color w:val="000000"/>
          <w:spacing w:val="0"/>
          <w:szCs w:val="32"/>
          <w:shd w:val="clear" w:color="auto" w:fill="FFFFFF"/>
        </w:rPr>
        <w:t>评分因素由评标小组进行综合评分</w:t>
      </w:r>
      <w:r>
        <w:rPr>
          <w:rFonts w:hint="eastAsia" w:ascii="仿宋_GB2312" w:hAnsi="仿宋_GB2312" w:cs="仿宋_GB2312"/>
          <w:kern w:val="0"/>
          <w:szCs w:val="32"/>
        </w:rPr>
        <w:t xml:space="preserve">。 </w:t>
      </w:r>
    </w:p>
    <w:tbl>
      <w:tblPr>
        <w:tblStyle w:val="3"/>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8"/>
              </w:rPr>
              <w:t>（一）商务</w:t>
            </w:r>
            <w:r>
              <w:rPr>
                <w:rFonts w:hint="eastAsia" w:ascii="仿宋" w:hAnsi="仿宋" w:eastAsia="仿宋"/>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8"/>
                <w:lang w:val="en-US" w:eastAsia="zh-CN"/>
              </w:rPr>
              <w:t>25</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0"/>
                <w:lang w:val="en-US" w:eastAsia="zh-CN"/>
              </w:rPr>
            </w:pPr>
            <w:r>
              <w:rPr>
                <w:rFonts w:hint="eastAsia" w:ascii="仿宋" w:hAnsi="仿宋" w:eastAsia="仿宋"/>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投标人综合实力</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0"/>
              </w:rPr>
            </w:pPr>
            <w:r>
              <w:rPr>
                <w:rFonts w:hint="eastAsia" w:ascii="仿宋" w:hAnsi="仿宋" w:eastAsia="仿宋"/>
                <w:sz w:val="20"/>
              </w:rPr>
              <w:t>横向比较投标人综合实力进行打分。</w:t>
            </w:r>
          </w:p>
          <w:p>
            <w:pPr>
              <w:jc w:val="left"/>
              <w:rPr>
                <w:rFonts w:ascii="仿宋" w:hAnsi="仿宋" w:eastAsia="仿宋"/>
                <w:sz w:val="20"/>
              </w:rPr>
            </w:pPr>
            <w:r>
              <w:rPr>
                <w:rFonts w:hint="eastAsia" w:ascii="仿宋" w:hAnsi="仿宋" w:eastAsia="仿宋"/>
                <w:sz w:val="20"/>
              </w:rPr>
              <w:t>评价为优得</w:t>
            </w:r>
            <w:r>
              <w:rPr>
                <w:rFonts w:hint="eastAsia" w:ascii="仿宋" w:hAnsi="仿宋" w:eastAsia="仿宋"/>
                <w:sz w:val="20"/>
                <w:lang w:val="en-US" w:eastAsia="zh-CN"/>
              </w:rPr>
              <w:t>10</w:t>
            </w:r>
            <w:r>
              <w:rPr>
                <w:rFonts w:hint="eastAsia" w:ascii="仿宋" w:hAnsi="仿宋" w:eastAsia="仿宋"/>
                <w:sz w:val="20"/>
              </w:rPr>
              <w:t>分；评价为良得</w:t>
            </w:r>
            <w:r>
              <w:rPr>
                <w:rFonts w:hint="eastAsia" w:ascii="仿宋" w:hAnsi="仿宋" w:eastAsia="仿宋"/>
                <w:sz w:val="20"/>
                <w:lang w:val="en-US" w:eastAsia="zh-CN"/>
              </w:rPr>
              <w:t>8</w:t>
            </w:r>
            <w:r>
              <w:rPr>
                <w:rFonts w:hint="eastAsia" w:ascii="仿宋" w:hAnsi="仿宋" w:eastAsia="仿宋"/>
                <w:sz w:val="20"/>
              </w:rPr>
              <w:t>分；评价为中得</w:t>
            </w:r>
            <w:r>
              <w:rPr>
                <w:rFonts w:hint="eastAsia" w:ascii="仿宋" w:hAnsi="仿宋" w:eastAsia="仿宋"/>
                <w:sz w:val="20"/>
                <w:lang w:val="en-US" w:eastAsia="zh-CN"/>
              </w:rPr>
              <w:t>6</w:t>
            </w:r>
            <w:r>
              <w:rPr>
                <w:rFonts w:hint="eastAsia" w:ascii="仿宋" w:hAnsi="仿宋" w:eastAsia="仿宋"/>
                <w:sz w:val="20"/>
              </w:rPr>
              <w:t>分；评价为差得</w:t>
            </w:r>
            <w:r>
              <w:rPr>
                <w:rFonts w:hint="eastAsia" w:ascii="仿宋" w:hAnsi="仿宋" w:eastAsia="仿宋"/>
                <w:sz w:val="20"/>
                <w:lang w:val="en-US" w:eastAsia="zh-CN"/>
              </w:rPr>
              <w:t>3</w:t>
            </w:r>
            <w:r>
              <w:rPr>
                <w:rFonts w:hint="eastAsia" w:ascii="仿宋" w:hAnsi="仿宋" w:eastAsia="仿宋"/>
                <w:sz w:val="20"/>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同类项目业绩</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lang w:val="en-US" w:eastAsia="zh-CN"/>
              </w:rPr>
              <w:t>10</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投标人曾经承担过的各级行政机关、事业单位法律服务项目，每提供一项得2分，最高不超过</w:t>
            </w:r>
            <w:r>
              <w:rPr>
                <w:rFonts w:hint="eastAsia" w:ascii="仿宋" w:hAnsi="仿宋" w:eastAsia="仿宋"/>
                <w:sz w:val="20"/>
                <w:lang w:val="en-US" w:eastAsia="zh-CN"/>
              </w:rPr>
              <w:t>10</w:t>
            </w:r>
            <w:r>
              <w:rPr>
                <w:rFonts w:hint="eastAsia" w:ascii="仿宋" w:hAnsi="仿宋" w:eastAsia="仿宋"/>
                <w:sz w:val="20"/>
              </w:rPr>
              <w:t>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（投标人须提供中标通知书或合同关键页的复印件加盖公章，原件备查。）</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cs="仿宋"/>
                <w:sz w:val="20"/>
                <w:szCs w:val="20"/>
              </w:rPr>
              <w:t>处罚、处分情况</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0"/>
                <w:szCs w:val="20"/>
              </w:rPr>
            </w:pPr>
            <w:r>
              <w:rPr>
                <w:rFonts w:hint="eastAsia" w:ascii="仿宋" w:hAnsi="仿宋" w:eastAsia="仿宋" w:cs="仿宋"/>
                <w:sz w:val="20"/>
                <w:szCs w:val="20"/>
              </w:rPr>
              <w:t>投标人提供司法主管部门出具的近三年（201</w:t>
            </w:r>
            <w:r>
              <w:rPr>
                <w:rFonts w:hint="default" w:ascii="仿宋" w:hAnsi="仿宋" w:eastAsia="仿宋" w:cs="仿宋"/>
                <w:sz w:val="20"/>
                <w:szCs w:val="20"/>
                <w:lang w:val="en-US"/>
              </w:rPr>
              <w:t>7</w:t>
            </w:r>
            <w:r>
              <w:rPr>
                <w:rFonts w:hint="eastAsia" w:ascii="仿宋" w:hAnsi="仿宋" w:eastAsia="仿宋" w:cs="仿宋"/>
                <w:sz w:val="20"/>
                <w:szCs w:val="20"/>
              </w:rPr>
              <w:t>年、201</w:t>
            </w:r>
            <w:r>
              <w:rPr>
                <w:rFonts w:hint="default" w:ascii="仿宋" w:hAnsi="仿宋" w:eastAsia="仿宋" w:cs="仿宋"/>
                <w:sz w:val="20"/>
                <w:szCs w:val="20"/>
                <w:lang w:val="en-US"/>
              </w:rPr>
              <w:t>8</w:t>
            </w:r>
            <w:r>
              <w:rPr>
                <w:rFonts w:hint="eastAsia" w:ascii="仿宋" w:hAnsi="仿宋" w:eastAsia="仿宋" w:cs="仿宋"/>
                <w:sz w:val="20"/>
                <w:szCs w:val="20"/>
              </w:rPr>
              <w:t>年、201</w:t>
            </w:r>
            <w:r>
              <w:rPr>
                <w:rFonts w:hint="default" w:ascii="仿宋" w:hAnsi="仿宋" w:eastAsia="仿宋" w:cs="仿宋"/>
                <w:sz w:val="20"/>
                <w:szCs w:val="20"/>
                <w:lang w:val="en-US"/>
              </w:rPr>
              <w:t>9</w:t>
            </w:r>
            <w:r>
              <w:rPr>
                <w:rFonts w:hint="eastAsia" w:ascii="仿宋" w:hAnsi="仿宋" w:eastAsia="仿宋" w:cs="仿宋"/>
                <w:sz w:val="20"/>
                <w:szCs w:val="20"/>
              </w:rPr>
              <w:t>年）无处罚证明以及律所所在地律师协会出具的近三年无行业处分证明，得5分。未提供证明或提供的证明存在处罚或处分记录等情形的，不得分。(提供相关证明扫描件，原件备查)。</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8"/>
              </w:rPr>
              <w:t>（二）技术</w:t>
            </w:r>
            <w:r>
              <w:rPr>
                <w:rFonts w:hint="eastAsia" w:ascii="仿宋" w:hAnsi="仿宋" w:eastAsia="仿宋"/>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rPr>
            </w:pPr>
            <w:r>
              <w:rPr>
                <w:rFonts w:hint="eastAsia" w:ascii="仿宋" w:hAnsi="仿宋" w:eastAsia="仿宋"/>
                <w:sz w:val="28"/>
              </w:rPr>
              <w:t>4</w:t>
            </w:r>
            <w:r>
              <w:rPr>
                <w:rFonts w:hint="eastAsia" w:ascii="仿宋" w:hAnsi="仿宋" w:eastAsia="仿宋"/>
                <w:sz w:val="28"/>
                <w:lang w:val="en-US" w:eastAsia="zh-CN"/>
              </w:rPr>
              <w:t>0</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对项目的认识和分析</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1</w:t>
            </w:r>
            <w:r>
              <w:rPr>
                <w:rFonts w:hint="eastAsia" w:ascii="仿宋" w:hAnsi="仿宋" w:eastAsia="仿宋"/>
                <w:sz w:val="20"/>
                <w:lang w:val="en-US" w:eastAsia="zh-CN"/>
              </w:rPr>
              <w:t>0</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0"/>
              </w:rPr>
            </w:pPr>
            <w:r>
              <w:rPr>
                <w:rFonts w:hint="eastAsia" w:ascii="仿宋" w:hAnsi="仿宋" w:eastAsia="仿宋" w:cs="仿宋"/>
                <w:sz w:val="20"/>
                <w:szCs w:val="20"/>
              </w:rPr>
              <w:t>根据提供的对服务项目工作的认识与分析全面、对应措施及建议合理、相关政策解读专业深刻等进行横向比较和评价。分档评分：评价为优得</w:t>
            </w:r>
            <w:r>
              <w:rPr>
                <w:rFonts w:hint="eastAsia" w:ascii="仿宋" w:hAnsi="仿宋" w:eastAsia="仿宋" w:cs="仿宋"/>
                <w:sz w:val="20"/>
                <w:szCs w:val="20"/>
                <w:lang w:val="en-US" w:eastAsia="zh-CN"/>
              </w:rPr>
              <w:t>10</w:t>
            </w:r>
            <w:r>
              <w:rPr>
                <w:rFonts w:hint="eastAsia" w:ascii="仿宋" w:hAnsi="仿宋" w:eastAsia="仿宋" w:cs="仿宋"/>
                <w:sz w:val="20"/>
                <w:szCs w:val="20"/>
              </w:rPr>
              <w:t>分；评价为良得</w:t>
            </w:r>
            <w:r>
              <w:rPr>
                <w:rFonts w:hint="eastAsia" w:ascii="仿宋" w:hAnsi="仿宋" w:eastAsia="仿宋" w:cs="仿宋"/>
                <w:sz w:val="20"/>
                <w:szCs w:val="20"/>
                <w:lang w:val="en-US" w:eastAsia="zh-CN"/>
              </w:rPr>
              <w:t>8</w:t>
            </w:r>
            <w:r>
              <w:rPr>
                <w:rFonts w:hint="eastAsia" w:ascii="仿宋" w:hAnsi="仿宋" w:eastAsia="仿宋" w:cs="仿宋"/>
                <w:sz w:val="20"/>
                <w:szCs w:val="20"/>
              </w:rPr>
              <w:t>分；评价为中得</w:t>
            </w:r>
            <w:r>
              <w:rPr>
                <w:rFonts w:hint="eastAsia" w:ascii="仿宋" w:hAnsi="仿宋" w:eastAsia="仿宋" w:cs="仿宋"/>
                <w:sz w:val="20"/>
                <w:szCs w:val="20"/>
                <w:lang w:val="en-US" w:eastAsia="zh-CN"/>
              </w:rPr>
              <w:t>6</w:t>
            </w:r>
            <w:r>
              <w:rPr>
                <w:rFonts w:hint="eastAsia" w:ascii="仿宋" w:hAnsi="仿宋" w:eastAsia="仿宋" w:cs="仿宋"/>
                <w:sz w:val="20"/>
                <w:szCs w:val="20"/>
              </w:rPr>
              <w:t>分；评价为差</w:t>
            </w:r>
            <w:r>
              <w:rPr>
                <w:rFonts w:hint="eastAsia" w:ascii="仿宋" w:hAnsi="仿宋" w:eastAsia="仿宋" w:cs="仿宋"/>
                <w:sz w:val="20"/>
                <w:szCs w:val="20"/>
                <w:lang w:val="en-US" w:eastAsia="zh-CN"/>
              </w:rPr>
              <w:t>得3</w:t>
            </w:r>
            <w:r>
              <w:rPr>
                <w:rFonts w:hint="eastAsia" w:ascii="仿宋" w:hAnsi="仿宋" w:eastAsia="仿宋" w:cs="仿宋"/>
                <w:sz w:val="20"/>
                <w:szCs w:val="20"/>
              </w:rPr>
              <w:t>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sz w:val="20"/>
              </w:rPr>
            </w:pPr>
            <w:r>
              <w:rPr>
                <w:rFonts w:hint="eastAsia" w:ascii="仿宋" w:hAnsi="仿宋" w:eastAsia="仿宋"/>
                <w:sz w:val="20"/>
              </w:rPr>
              <w:t>项目实施方案（服务标准、质量保证措施、人员考核等各项管理制度）</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15</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0"/>
              </w:rPr>
            </w:pPr>
            <w:r>
              <w:rPr>
                <w:rFonts w:hint="eastAsia" w:ascii="仿宋" w:hAnsi="仿宋" w:eastAsia="仿宋" w:cs="仿宋"/>
                <w:sz w:val="20"/>
                <w:szCs w:val="20"/>
              </w:rPr>
              <w:t>根据提供的本项目的方案、技术工作流程、进度安排等是否详细、考虑全面、人员管理考核是否完善、可操作性强等进行横向比较和评价。分档评分：评价为优得</w:t>
            </w:r>
            <w:r>
              <w:rPr>
                <w:rFonts w:hint="eastAsia" w:ascii="仿宋" w:hAnsi="仿宋" w:eastAsia="仿宋" w:cs="仿宋"/>
                <w:sz w:val="20"/>
                <w:szCs w:val="20"/>
                <w:lang w:val="en-US" w:eastAsia="zh-CN"/>
              </w:rPr>
              <w:t>15</w:t>
            </w:r>
            <w:r>
              <w:rPr>
                <w:rFonts w:hint="eastAsia" w:ascii="仿宋" w:hAnsi="仿宋" w:eastAsia="仿宋" w:cs="仿宋"/>
                <w:sz w:val="20"/>
                <w:szCs w:val="20"/>
              </w:rPr>
              <w:t>分；评价为良得</w:t>
            </w:r>
            <w:r>
              <w:rPr>
                <w:rFonts w:hint="eastAsia" w:ascii="仿宋" w:hAnsi="仿宋" w:eastAsia="仿宋" w:cs="仿宋"/>
                <w:sz w:val="20"/>
                <w:szCs w:val="20"/>
                <w:lang w:val="en-US" w:eastAsia="zh-CN"/>
              </w:rPr>
              <w:t>12</w:t>
            </w:r>
            <w:r>
              <w:rPr>
                <w:rFonts w:hint="eastAsia" w:ascii="仿宋" w:hAnsi="仿宋" w:eastAsia="仿宋" w:cs="仿宋"/>
                <w:sz w:val="20"/>
                <w:szCs w:val="20"/>
              </w:rPr>
              <w:t>分；评价为中得</w:t>
            </w:r>
            <w:r>
              <w:rPr>
                <w:rFonts w:hint="eastAsia" w:ascii="仿宋" w:hAnsi="仿宋" w:eastAsia="仿宋" w:cs="仿宋"/>
                <w:sz w:val="20"/>
                <w:szCs w:val="20"/>
                <w:lang w:val="en-US" w:eastAsia="zh-CN"/>
              </w:rPr>
              <w:t>9</w:t>
            </w:r>
            <w:r>
              <w:rPr>
                <w:rFonts w:hint="eastAsia" w:ascii="仿宋" w:hAnsi="仿宋" w:eastAsia="仿宋" w:cs="仿宋"/>
                <w:sz w:val="20"/>
                <w:szCs w:val="20"/>
              </w:rPr>
              <w:t>分数；评价为差不得分。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1</w:t>
            </w:r>
            <w:r>
              <w:rPr>
                <w:rFonts w:hint="eastAsia" w:ascii="仿宋" w:hAnsi="仿宋" w:eastAsia="仿宋"/>
                <w:sz w:val="20"/>
                <w:lang w:val="en-US" w:eastAsia="zh-CN"/>
              </w:rPr>
              <w:t>0</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 w:hAnsi="仿宋" w:eastAsia="仿宋"/>
                <w:sz w:val="20"/>
              </w:rPr>
            </w:pPr>
            <w:r>
              <w:rPr>
                <w:rFonts w:hint="eastAsia" w:ascii="仿宋" w:hAnsi="仿宋" w:eastAsia="仿宋"/>
                <w:sz w:val="20"/>
              </w:rPr>
              <w:t>横向比较投标人针对本项目的项目负责人、团队人员组成及学历、经验、能力评价，参与过政府机关事业单位法律服务工作。</w:t>
            </w:r>
            <w:r>
              <w:rPr>
                <w:rFonts w:hint="eastAsia" w:ascii="仿宋" w:hAnsi="仿宋" w:eastAsia="仿宋" w:cs="仿宋"/>
                <w:sz w:val="20"/>
                <w:szCs w:val="20"/>
              </w:rPr>
              <w:t>分档评分：评价为优得</w:t>
            </w:r>
            <w:r>
              <w:rPr>
                <w:rFonts w:hint="eastAsia" w:ascii="仿宋" w:hAnsi="仿宋" w:eastAsia="仿宋" w:cs="仿宋"/>
                <w:sz w:val="20"/>
                <w:szCs w:val="20"/>
                <w:lang w:val="en-US" w:eastAsia="zh-CN"/>
              </w:rPr>
              <w:t>10</w:t>
            </w:r>
            <w:r>
              <w:rPr>
                <w:rFonts w:hint="eastAsia" w:ascii="仿宋" w:hAnsi="仿宋" w:eastAsia="仿宋" w:cs="仿宋"/>
                <w:sz w:val="20"/>
                <w:szCs w:val="20"/>
              </w:rPr>
              <w:t>分；评价为良得</w:t>
            </w:r>
            <w:r>
              <w:rPr>
                <w:rFonts w:hint="eastAsia" w:ascii="仿宋" w:hAnsi="仿宋" w:eastAsia="仿宋" w:cs="仿宋"/>
                <w:sz w:val="20"/>
                <w:szCs w:val="20"/>
                <w:lang w:val="en-US" w:eastAsia="zh-CN"/>
              </w:rPr>
              <w:t>8</w:t>
            </w:r>
            <w:r>
              <w:rPr>
                <w:rFonts w:hint="eastAsia" w:ascii="仿宋" w:hAnsi="仿宋" w:eastAsia="仿宋" w:cs="仿宋"/>
                <w:sz w:val="20"/>
                <w:szCs w:val="20"/>
              </w:rPr>
              <w:t>分；评价为中得</w:t>
            </w:r>
            <w:r>
              <w:rPr>
                <w:rFonts w:hint="eastAsia" w:ascii="仿宋" w:hAnsi="仿宋" w:eastAsia="仿宋" w:cs="仿宋"/>
                <w:sz w:val="20"/>
                <w:szCs w:val="20"/>
                <w:lang w:val="en-US" w:eastAsia="zh-CN"/>
              </w:rPr>
              <w:t>6</w:t>
            </w:r>
            <w:r>
              <w:rPr>
                <w:rFonts w:hint="eastAsia" w:ascii="仿宋" w:hAnsi="仿宋" w:eastAsia="仿宋" w:cs="仿宋"/>
                <w:sz w:val="20"/>
                <w:szCs w:val="20"/>
              </w:rPr>
              <w:t>分数；评价为差不得分。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sz w:val="20"/>
              </w:rPr>
            </w:pPr>
            <w:r>
              <w:rPr>
                <w:rFonts w:hint="eastAsia" w:ascii="仿宋" w:hAnsi="仿宋" w:eastAsia="仿宋" w:cs="仿宋"/>
                <w:sz w:val="20"/>
                <w:szCs w:val="20"/>
              </w:rPr>
              <w:t>投标人注册地为深圳市得5分；注册地在其他</w:t>
            </w:r>
            <w:r>
              <w:rPr>
                <w:rFonts w:hint="eastAsia" w:ascii="仿宋" w:hAnsi="仿宋" w:eastAsia="仿宋" w:cs="仿宋"/>
                <w:sz w:val="20"/>
                <w:szCs w:val="20"/>
                <w:lang w:val="en-US" w:eastAsia="zh-CN"/>
              </w:rPr>
              <w:t>市</w:t>
            </w:r>
            <w:r>
              <w:rPr>
                <w:rFonts w:hint="eastAsia" w:ascii="仿宋" w:hAnsi="仿宋" w:eastAsia="仿宋" w:cs="仿宋"/>
                <w:sz w:val="20"/>
                <w:szCs w:val="20"/>
              </w:rPr>
              <w:t xml:space="preserve">得2.5分。 </w:t>
            </w:r>
            <w:r>
              <w:rPr>
                <w:rFonts w:hint="eastAsia" w:ascii="仿宋" w:hAnsi="仿宋" w:eastAsia="仿宋" w:cs="仿宋"/>
                <w:sz w:val="20"/>
                <w:szCs w:val="20"/>
              </w:rPr>
              <w:br w:type="textWrapping"/>
            </w:r>
            <w:r>
              <w:rPr>
                <w:rFonts w:hint="eastAsia" w:ascii="仿宋" w:hAnsi="仿宋" w:eastAsia="仿宋" w:cs="仿宋"/>
                <w:sz w:val="20"/>
                <w:szCs w:val="20"/>
              </w:rPr>
              <w:t>提供证明文件扫描件（原件备查）。</w:t>
            </w:r>
          </w:p>
        </w:tc>
        <w:tc>
          <w:tcPr>
            <w:tcW w:w="9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331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20"/>
                <w:lang w:val="en-US" w:eastAsia="zh-CN"/>
              </w:rPr>
            </w:pPr>
            <w:r>
              <w:rPr>
                <w:rFonts w:hint="eastAsia" w:ascii="仿宋" w:hAnsi="仿宋" w:eastAsia="仿宋"/>
                <w:sz w:val="28"/>
                <w:lang w:val="en-US" w:eastAsia="zh-CN"/>
              </w:rPr>
              <w:t>（三）政策部分</w:t>
            </w:r>
          </w:p>
        </w:tc>
        <w:tc>
          <w:tcPr>
            <w:tcW w:w="560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sz w:val="20"/>
                <w:szCs w:val="20"/>
                <w:lang w:val="en-US" w:eastAsia="zh-CN"/>
              </w:rPr>
            </w:pPr>
            <w:r>
              <w:rPr>
                <w:rFonts w:hint="eastAsia" w:ascii="仿宋" w:hAnsi="仿宋" w:eastAsia="仿宋"/>
                <w:sz w:val="28"/>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28"/>
                <w:lang w:val="en-US" w:eastAsia="zh-CN"/>
              </w:rPr>
            </w:pPr>
            <w:r>
              <w:rPr>
                <w:rFonts w:hint="eastAsia" w:ascii="仿宋" w:hAnsi="仿宋" w:eastAsia="仿宋"/>
                <w:sz w:val="28"/>
                <w:lang w:val="en-US" w:eastAsia="zh-CN"/>
              </w:rPr>
              <w:t>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cs="仿宋"/>
                <w:sz w:val="20"/>
                <w:szCs w:val="20"/>
              </w:rPr>
              <w:t>诚信情况</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lang w:val="en-US" w:eastAsia="zh-CN"/>
              </w:rPr>
              <w:t>5</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sz w:val="28"/>
                <w:lang w:val="en-US" w:eastAsia="zh-CN"/>
              </w:rPr>
            </w:pPr>
            <w:r>
              <w:rPr>
                <w:rFonts w:hint="eastAsia" w:ascii="仿宋" w:hAnsi="仿宋" w:eastAsia="仿宋" w:cs="仿宋"/>
                <w:sz w:val="20"/>
                <w:szCs w:val="20"/>
                <w:lang w:val="en-US" w:eastAsia="zh-CN"/>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格式自拟）</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0"/>
                <w:szCs w:val="20"/>
                <w:lang w:val="en-US" w:eastAsia="zh-CN"/>
              </w:rPr>
            </w:pPr>
            <w:r>
              <w:rPr>
                <w:rFonts w:hint="eastAsia" w:ascii="仿宋" w:hAnsi="仿宋" w:eastAsia="仿宋"/>
                <w:sz w:val="28"/>
              </w:rPr>
              <w:t>（</w:t>
            </w:r>
            <w:r>
              <w:rPr>
                <w:rFonts w:hint="eastAsia" w:ascii="仿宋" w:hAnsi="仿宋" w:eastAsia="仿宋"/>
                <w:sz w:val="28"/>
                <w:lang w:val="en-US" w:eastAsia="zh-CN"/>
              </w:rPr>
              <w:t>四</w:t>
            </w:r>
            <w:r>
              <w:rPr>
                <w:rFonts w:hint="eastAsia" w:ascii="仿宋" w:hAnsi="仿宋" w:eastAsia="仿宋"/>
                <w:sz w:val="28"/>
              </w:rPr>
              <w:t>）价格</w:t>
            </w:r>
            <w:r>
              <w:rPr>
                <w:rFonts w:hint="eastAsia" w:ascii="仿宋" w:hAnsi="仿宋" w:eastAsia="仿宋"/>
                <w:sz w:val="28"/>
                <w:lang w:val="en-US" w:eastAsia="zh-CN"/>
              </w:rPr>
              <w:t>部分</w:t>
            </w:r>
          </w:p>
        </w:tc>
        <w:tc>
          <w:tcPr>
            <w:tcW w:w="5608"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sz w:val="28"/>
                <w:lang w:val="en-US" w:eastAsia="zh-CN"/>
              </w:rPr>
            </w:pPr>
            <w:r>
              <w:rPr>
                <w:rFonts w:hint="eastAsia" w:ascii="仿宋" w:hAnsi="仿宋" w:eastAsia="仿宋"/>
                <w:sz w:val="28"/>
                <w:lang w:val="en-US" w:eastAsia="zh-CN"/>
              </w:rPr>
              <w:t>30</w:t>
            </w:r>
            <w:r>
              <w:rPr>
                <w:rFonts w:hint="eastAsia" w:ascii="仿宋" w:hAnsi="仿宋" w:eastAsia="仿宋"/>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sz w:val="28"/>
                <w:lang w:val="en-US" w:eastAsia="zh-CN"/>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sz w:val="28"/>
                <w:lang w:val="en-US" w:eastAsia="zh-CN"/>
              </w:rPr>
            </w:pPr>
            <w:r>
              <w:rPr>
                <w:rFonts w:hint="eastAsia" w:ascii="仿宋" w:hAnsi="仿宋" w:eastAsia="仿宋"/>
                <w:sz w:val="20"/>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sz w:val="20"/>
                <w:szCs w:val="20"/>
                <w:lang w:val="en-US" w:eastAsia="zh-CN"/>
              </w:rPr>
            </w:pPr>
            <w:r>
              <w:rPr>
                <w:rFonts w:hint="eastAsia" w:ascii="仿宋" w:hAnsi="仿宋" w:eastAsia="仿宋"/>
                <w:sz w:val="20"/>
                <w:szCs w:val="20"/>
                <w:lang w:val="en-US" w:eastAsia="zh-CN"/>
              </w:rPr>
              <w:t>1</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0"/>
                <w:szCs w:val="20"/>
                <w:lang w:val="en-US" w:eastAsia="zh-CN"/>
              </w:rPr>
            </w:pPr>
            <w:r>
              <w:rPr>
                <w:rFonts w:hint="eastAsia" w:ascii="仿宋" w:hAnsi="仿宋" w:eastAsia="仿宋"/>
                <w:sz w:val="20"/>
                <w:szCs w:val="20"/>
                <w:lang w:val="en-US" w:eastAsia="zh-CN"/>
              </w:rPr>
              <w:t>报价得分</w:t>
            </w:r>
          </w:p>
        </w:tc>
        <w:tc>
          <w:tcPr>
            <w:tcW w:w="8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仿宋"/>
                <w:sz w:val="20"/>
                <w:szCs w:val="20"/>
                <w:lang w:val="en-US" w:eastAsia="zh-CN"/>
              </w:rPr>
            </w:pPr>
            <w:r>
              <w:rPr>
                <w:rFonts w:hint="eastAsia" w:ascii="仿宋" w:hAnsi="仿宋" w:eastAsia="仿宋"/>
                <w:sz w:val="20"/>
                <w:szCs w:val="20"/>
                <w:lang w:val="en-US" w:eastAsia="zh-CN"/>
              </w:rPr>
              <w:t>30</w:t>
            </w:r>
          </w:p>
        </w:tc>
        <w:tc>
          <w:tcPr>
            <w:tcW w:w="467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仿宋" w:hAnsi="仿宋" w:eastAsia="仿宋"/>
                <w:sz w:val="28"/>
                <w:lang w:val="en-US" w:eastAsia="zh-CN"/>
              </w:rPr>
            </w:pPr>
            <w:r>
              <w:rPr>
                <w:rFonts w:hint="eastAsia" w:ascii="仿宋" w:hAnsi="仿宋" w:eastAsia="仿宋"/>
                <w:sz w:val="20"/>
                <w:lang w:val="en-US" w:eastAsia="zh-CN"/>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 w:hAnsi="仿宋" w:eastAsia="仿宋"/>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仿宋" w:hAnsi="仿宋" w:eastAsia="黑体"/>
                <w:sz w:val="28"/>
                <w:lang w:val="en-US" w:eastAsia="zh-CN"/>
              </w:rPr>
            </w:pPr>
            <w:r>
              <w:rPr>
                <w:rFonts w:hint="eastAsia" w:ascii="宋体" w:hAnsi="宋体" w:eastAsia="宋体" w:cs="华文仿宋"/>
                <w:b/>
                <w:spacing w:val="-11"/>
                <w:kern w:val="16"/>
                <w:sz w:val="21"/>
                <w:szCs w:val="21"/>
              </w:rPr>
              <w:t>评标总得分</w:t>
            </w:r>
            <w:r>
              <w:rPr>
                <w:rFonts w:hint="eastAsia" w:ascii="宋体" w:hAnsi="宋体" w:eastAsia="宋体" w:cs="华文仿宋"/>
                <w:b/>
                <w:spacing w:val="-11"/>
                <w:kern w:val="16"/>
                <w:sz w:val="21"/>
                <w:szCs w:val="21"/>
                <w:lang w:eastAsia="zh-CN"/>
              </w:rPr>
              <w:t>：</w:t>
            </w:r>
            <w:r>
              <w:rPr>
                <w:rFonts w:hint="eastAsia" w:ascii="宋体" w:hAnsi="宋体" w:eastAsia="宋体" w:cs="华文仿宋"/>
                <w:b/>
                <w:spacing w:val="-11"/>
                <w:kern w:val="16"/>
                <w:sz w:val="21"/>
                <w:szCs w:val="21"/>
                <w:lang w:val="en-US" w:eastAsia="zh-CN"/>
              </w:rPr>
              <w:t>商务部分＋技术部分＋政策部分＋价格部分</w:t>
            </w:r>
          </w:p>
        </w:tc>
        <w:tc>
          <w:tcPr>
            <w:tcW w:w="9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黑体" w:hAnsi="黑体" w:eastAsia="黑体" w:cs="黑体"/>
                <w:sz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3D9E1B-9D9F-4485-B4B6-3BBE1D8F40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embedRegular r:id="rId2" w:fontKey="{784EDBC2-8AEC-43F4-80D5-BB2F47019D4C}"/>
  </w:font>
  <w:font w:name="方正小标宋简体">
    <w:panose1 w:val="02000000000000000000"/>
    <w:charset w:val="86"/>
    <w:family w:val="auto"/>
    <w:pitch w:val="default"/>
    <w:sig w:usb0="00000001" w:usb1="08000000" w:usb2="00000000" w:usb3="00000000" w:csb0="00040000" w:csb1="00000000"/>
    <w:embedRegular r:id="rId3" w:fontKey="{419650C7-4CBE-4485-893B-0DACF70F0871}"/>
  </w:font>
  <w:font w:name="仿宋">
    <w:panose1 w:val="02010609060101010101"/>
    <w:charset w:val="86"/>
    <w:family w:val="modern"/>
    <w:pitch w:val="default"/>
    <w:sig w:usb0="800002BF" w:usb1="38CF7CFA" w:usb2="00000016" w:usb3="00000000" w:csb0="00040001" w:csb1="00000000"/>
    <w:embedRegular r:id="rId4" w:fontKey="{49B7C5F2-F492-4F9F-9B2D-49DFE0A80EE3}"/>
  </w:font>
  <w:font w:name="华文仿宋">
    <w:panose1 w:val="02010600040101010101"/>
    <w:charset w:val="86"/>
    <w:family w:val="auto"/>
    <w:pitch w:val="default"/>
    <w:sig w:usb0="00000287" w:usb1="080F0000" w:usb2="00000000" w:usb3="00000000" w:csb0="0004009F" w:csb1="DFD70000"/>
    <w:embedRegular r:id="rId5" w:fontKey="{0E7C2DFA-0164-49D9-B0C1-BF9FE22CD22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301FB"/>
    <w:rsid w:val="60F3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before="100" w:beforeAutospacing="1"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2020-03-02T09:11:00Z</dcterms:created>
  <dc:creator>飞</dc:creator>
  <cp:lastModifiedBy>飞</cp:lastModifiedBy>
  <dcterms:modified xsi:type="dcterms:W3CDTF">2020-03-02T09:11:50Z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