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left"/>
        <w:textAlignment w:val="auto"/>
        <w:rPr>
          <w:rFonts w:hint="eastAsia" w:ascii="仿宋_GB2312" w:hAnsi="仿宋_GB2312" w:eastAsia="仿宋_GB2312" w:cs="仿宋_GB2312"/>
          <w:spacing w:val="0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0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/>
        <w:jc w:val="center"/>
        <w:textAlignment w:val="auto"/>
        <w:rPr>
          <w:rFonts w:hint="default" w:ascii="黑体" w:hAnsi="黑体" w:eastAsia="黑体" w:cs="仿宋_GB2312"/>
          <w:spacing w:val="0"/>
          <w:szCs w:val="32"/>
          <w:lang w:val="en-US" w:eastAsia="zh-CN"/>
        </w:rPr>
      </w:pPr>
      <w:r>
        <w:rPr>
          <w:rFonts w:hint="eastAsia" w:ascii="黑体" w:hAnsi="黑体" w:eastAsia="黑体" w:cs="仿宋_GB2312"/>
          <w:spacing w:val="0"/>
          <w:szCs w:val="32"/>
          <w:lang w:val="en-US" w:eastAsia="zh-CN"/>
        </w:rPr>
        <w:t>综合评分细则</w:t>
      </w:r>
    </w:p>
    <w:tbl>
      <w:tblPr>
        <w:tblStyle w:val="4"/>
        <w:tblpPr w:leftFromText="180" w:rightFromText="180" w:vertAnchor="text" w:horzAnchor="page" w:tblpX="1765" w:tblpY="693"/>
        <w:tblOverlap w:val="never"/>
        <w:tblW w:w="91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2"/>
        <w:gridCol w:w="1140"/>
        <w:gridCol w:w="1370"/>
        <w:gridCol w:w="1225"/>
        <w:gridCol w:w="47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评分项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一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价格</w:t>
            </w: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部分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7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</w:rPr>
              <w:t>价格分统一采用低价优先法计算，即满足招标文件要求且投标价格最低的投标报价为评标基准价，其价格分为满分。其他投标人的价格分统一按照下列公式计算：投标报价得分＝（评标基准价/投标报价）×权重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二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技术部分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行号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权重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保安服务管理方案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有完整的保安服务管理方案，包含以下内容：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保安管理制度，内容包含：保安员日常行为准则、工作职责及其义务、保安员奖惩办法等；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结合招标单位的实际情况，科学合理进行岗位设置、人数配置和工作时间安排；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完善保安人员档案的建立与管理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重大活动保障：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制定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本项目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突发事件应急处理预案及措施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；提供突发事件应急处置队伍与增援体系；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评分依据：方案内容具有全面性、具体性、针对性、可操作性、科学合理性的五项要求，满足五项要求得20分，满足四项要求得16分，满足三项要求得12分，其他情况不得分。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服务承诺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提供服务承诺函（格式自定）至少包含以下内容：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1.承诺对服务的落实情况，安排人员岗位设置合理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2.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承诺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人员服务时间安排合理，不出现缺岗空岗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3.承诺人员统一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穿着制服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，符合烈士陵园肃穆庄严氛围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，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服务态度友善，工作积极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4.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承诺</w:t>
            </w:r>
            <w:r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有定期人员培训计划，培训效果到位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5.承诺人员工资不低于最低工资标准，并保证能按时发放人员工资；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6.承诺杜绝发生劳务纠纷；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7.服务承诺满足全面性、具体性、合理性等方面的要求，得4分；新增承诺内容可得分，总分不超过5分。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违约承诺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提供违约承诺函（格式自定），承诺内容满足全面性、具体性、合理性等方面的要求，得5分。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三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商务部分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行号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权重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人员配备情况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至少配备1名保安主管，根据工作资质情况进行评估，最多得2分；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最少派驻14名保安员可得6分，每多一人多0.5分，最多得8分；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保安人员学历都在高中以上可得3分，其中含1名退役军人加1分，最多得5分；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需有两名保安人员持C1牌可得4分，一名得2分；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需安保人员持保安上岗证，每持证一名给0.5分，最多得2分；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安保人员有2人持有消防监控上岗证书得4分，1人持有消防监控上岗证书得2分，最多得4分。以消防核发部门提供证书为准，复印件加盖公章，原件备查。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设备配备情况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  <w:t>保安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</w:rPr>
              <w:t>装备优良整齐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  <w:t>根据岗位设置，配备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以下4种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</w:rPr>
              <w:t>保安人员使用的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基础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</w:rPr>
              <w:t>安保工具及防暴器具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交通工具：如巡逻车；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通讯工具：如对讲机；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非杀伤性防卫器材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：如橡胶保安棍、强光手电筒、保安哨笛、钢叉等；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人体安全防护器材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：如防护头盔、防护盾牌、防割手套、防刺服等；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评分依据：配备以上四种类型装备的，得4分；提供</w:t>
            </w:r>
            <w:r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额外安保</w:t>
            </w:r>
            <w:r>
              <w:rPr>
                <w:rFonts w:hint="default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器材</w:t>
            </w:r>
            <w:r>
              <w:rPr>
                <w:rFonts w:hint="eastAsia" w:ascii="仿宋_GB2312" w:hAnsi="仿宋_GB2312" w:cs="仿宋_GB2312"/>
                <w:spacing w:val="0"/>
                <w:sz w:val="21"/>
                <w:szCs w:val="21"/>
                <w:lang w:val="en-US" w:eastAsia="zh-CN"/>
              </w:rPr>
              <w:t>的，可加1分。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安保培训措施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提供周期性的培训计划，包含以下培训内容：入职培训、服务礼仪培训、体能培训、消防安全培训、防暴反恐培训。</w:t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方案内容具有全面性、具体性、针对性、可操作性、科学合理性的五项要求，满足五项要求得5分，满足四项要求得3分，满足三项要求得1分，其他情况不得分。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人员安全保障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default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提供近两年（从2018年3月起）安保人员人身意外伤害保险保单，得5分。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四</w:t>
            </w:r>
          </w:p>
        </w:tc>
        <w:tc>
          <w:tcPr>
            <w:tcW w:w="373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政策部分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行号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权重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评分准则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企业诚信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投标人须未被列入失信被执行人、重大税收违法案件当事人名单及政府采购严重违法失信行为名单，需提供承诺函并盖公章</w:t>
            </w: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，</w:t>
            </w: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得</w:t>
            </w: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7</w:t>
            </w: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荣誉资质</w:t>
            </w:r>
          </w:p>
        </w:tc>
        <w:tc>
          <w:tcPr>
            <w:tcW w:w="12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4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left"/>
              <w:textAlignment w:val="auto"/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2018年1月1日至本项目投标截止时间止，投标人曾入围过副省级或以上级别政府保安服务预选供应商库的，得</w:t>
            </w: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3 </w:t>
            </w: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分，曾入围过地市级或区（县）级别政府保安服务预选供应商库的，得</w:t>
            </w:r>
            <w:r>
              <w:rPr>
                <w:rFonts w:hint="eastAsia" w:ascii="仿宋_GB2312" w:hAnsi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 xml:space="preserve">1 </w:t>
            </w:r>
            <w:r>
              <w:rPr>
                <w:rFonts w:hint="eastAsia" w:ascii="仿宋_GB2312" w:hAnsi="仿宋_GB2312" w:eastAsia="仿宋_GB2312" w:cs="仿宋_GB2312"/>
                <w:spacing w:val="10"/>
                <w:kern w:val="2"/>
                <w:sz w:val="21"/>
                <w:szCs w:val="21"/>
                <w:vertAlign w:val="baseline"/>
                <w:lang w:val="en-US" w:eastAsia="zh-CN" w:bidi="ar-SA"/>
              </w:rPr>
              <w:t>分；其他情况不得分。</w:t>
            </w:r>
          </w:p>
        </w:tc>
      </w:tr>
    </w:tbl>
    <w:p>
      <w:pPr>
        <w:jc w:val="left"/>
        <w:rPr>
          <w:rFonts w:ascii="黑体" w:hAnsi="黑体" w:eastAsia="黑体" w:cs="仿宋_GB2312"/>
          <w:spacing w:val="0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7CA02B"/>
    <w:multiLevelType w:val="singleLevel"/>
    <w:tmpl w:val="8F7CA02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3F320AD"/>
    <w:multiLevelType w:val="singleLevel"/>
    <w:tmpl w:val="B3F32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06059434"/>
    <w:multiLevelType w:val="singleLevel"/>
    <w:tmpl w:val="0605943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6B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Times New Roman"/>
      <w:spacing w:val="10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2020-03-19T10:58:05Z</dcterms:created>
  <dc:creator>admin</dc:creator>
  <cp:lastModifiedBy>董克源</cp:lastModifiedBy>
  <dcterms:modified xsi:type="dcterms:W3CDTF">2020-03-19T10:58:27Z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