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beforeAutospacing="0" w:line="560" w:lineRule="exact"/>
        <w:ind w:right="0"/>
        <w:textAlignment w:val="auto"/>
        <w:rPr>
          <w:rFonts w:hint="eastAsia" w:ascii="Times New Roman" w:hAnsi="Times New Roman" w:eastAsia="黑体" w:cs="Times New Roman"/>
          <w:szCs w:val="32"/>
          <w:lang w:val="en-US" w:eastAsia="zh-CN" w:bidi="ar"/>
        </w:rPr>
      </w:pPr>
      <w:r>
        <w:rPr>
          <w:rFonts w:hint="default" w:ascii="Times New Roman" w:hAnsi="Times New Roman" w:eastAsia="黑体" w:cs="Times New Roman"/>
          <w:szCs w:val="32"/>
          <w:lang w:val="en-US" w:eastAsia="zh-CN" w:bidi="ar"/>
        </w:rPr>
        <w:t>附</w:t>
      </w:r>
      <w:r>
        <w:rPr>
          <w:rFonts w:hint="default" w:ascii="Times New Roman" w:hAnsi="Times New Roman" w:eastAsia="黑体" w:cs="Times New Roman"/>
          <w:szCs w:val="32"/>
          <w:lang w:bidi="ar"/>
        </w:rPr>
        <w:t>件</w:t>
      </w:r>
      <w:r>
        <w:rPr>
          <w:rFonts w:hint="eastAsia" w:eastAsia="黑体" w:cs="Times New Roman"/>
          <w:szCs w:val="32"/>
          <w:lang w:val="en-US" w:eastAsia="zh-CN" w:bidi="ar"/>
        </w:rPr>
        <w:t>1</w:t>
      </w:r>
    </w:p>
    <w:p>
      <w:pPr>
        <w:overflowPunct w:val="0"/>
        <w:autoSpaceDE w:val="0"/>
        <w:autoSpaceDN w:val="0"/>
        <w:spacing w:line="560" w:lineRule="exact"/>
        <w:ind w:left="2980" w:leftChars="200" w:hanging="2300" w:hangingChars="500"/>
        <w:jc w:val="left"/>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深圳市退役军人服务</w:t>
      </w:r>
      <w:r>
        <w:rPr>
          <w:rFonts w:hint="default" w:ascii="Times New Roman" w:hAnsi="Times New Roman" w:eastAsia="方正小标宋_GBK" w:cs="Times New Roman"/>
          <w:sz w:val="44"/>
          <w:szCs w:val="44"/>
          <w:lang w:eastAsia="zh-CN"/>
        </w:rPr>
        <w:t>大厅环境提升项目</w:t>
      </w:r>
      <w:r>
        <w:rPr>
          <w:rFonts w:hint="default" w:ascii="Times New Roman" w:hAnsi="Times New Roman" w:eastAsia="方正小标宋_GBK" w:cs="Times New Roman"/>
          <w:sz w:val="44"/>
          <w:szCs w:val="44"/>
        </w:rPr>
        <w:t>综合评分表</w:t>
      </w:r>
      <w:bookmarkEnd w:id="0"/>
    </w:p>
    <w:tbl>
      <w:tblPr>
        <w:tblStyle w:val="4"/>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314" w:type="dxa"/>
            <w:noWrap w:val="0"/>
            <w:vAlign w:val="center"/>
          </w:tcPr>
          <w:p>
            <w:pPr>
              <w:jc w:val="center"/>
              <w:rPr>
                <w:rFonts w:hint="eastAsia"/>
                <w:b/>
                <w:bCs/>
                <w:sz w:val="24"/>
                <w:szCs w:val="24"/>
              </w:rPr>
            </w:pPr>
            <w:r>
              <w:rPr>
                <w:rFonts w:hint="eastAsia"/>
                <w:b/>
                <w:bCs/>
                <w:sz w:val="24"/>
                <w:szCs w:val="24"/>
                <w:highlight w:val="none"/>
              </w:rPr>
              <w:t>评分因素</w:t>
            </w:r>
          </w:p>
        </w:tc>
        <w:tc>
          <w:tcPr>
            <w:tcW w:w="788" w:type="dxa"/>
            <w:noWrap w:val="0"/>
            <w:vAlign w:val="center"/>
          </w:tcPr>
          <w:p>
            <w:pPr>
              <w:jc w:val="center"/>
              <w:rPr>
                <w:rFonts w:hint="eastAsia"/>
                <w:b/>
                <w:bCs/>
                <w:sz w:val="24"/>
                <w:szCs w:val="24"/>
              </w:rPr>
            </w:pPr>
            <w:r>
              <w:rPr>
                <w:rFonts w:hint="eastAsia"/>
                <w:b/>
                <w:bCs/>
                <w:sz w:val="24"/>
                <w:szCs w:val="24"/>
                <w:highlight w:val="none"/>
              </w:rPr>
              <w:t>分值</w:t>
            </w:r>
          </w:p>
        </w:tc>
        <w:tc>
          <w:tcPr>
            <w:tcW w:w="1290" w:type="dxa"/>
            <w:noWrap w:val="0"/>
            <w:vAlign w:val="center"/>
          </w:tcPr>
          <w:p>
            <w:pPr>
              <w:jc w:val="center"/>
              <w:rPr>
                <w:rFonts w:hint="eastAsia"/>
                <w:b/>
                <w:bCs/>
                <w:sz w:val="24"/>
                <w:szCs w:val="24"/>
              </w:rPr>
            </w:pPr>
            <w:r>
              <w:rPr>
                <w:rFonts w:hint="eastAsia"/>
                <w:b/>
                <w:bCs/>
                <w:sz w:val="24"/>
                <w:szCs w:val="24"/>
                <w:highlight w:val="none"/>
              </w:rPr>
              <w:t>评分内容</w:t>
            </w:r>
          </w:p>
        </w:tc>
        <w:tc>
          <w:tcPr>
            <w:tcW w:w="6525" w:type="dxa"/>
            <w:noWrap w:val="0"/>
            <w:vAlign w:val="center"/>
          </w:tcPr>
          <w:p>
            <w:pPr>
              <w:jc w:val="center"/>
              <w:rPr>
                <w:rFonts w:hint="eastAsia"/>
                <w:b/>
                <w:bCs/>
                <w:sz w:val="24"/>
                <w:szCs w:val="24"/>
              </w:rPr>
            </w:pPr>
            <w:r>
              <w:rPr>
                <w:rFonts w:hint="eastAsia"/>
                <w:b/>
                <w:bCs/>
                <w:sz w:val="24"/>
                <w:szCs w:val="24"/>
                <w:highlight w:val="none"/>
              </w:rPr>
              <w:t>评  分  标  准</w:t>
            </w:r>
          </w:p>
        </w:tc>
        <w:tc>
          <w:tcPr>
            <w:tcW w:w="977" w:type="dxa"/>
            <w:noWrap w:val="0"/>
            <w:vAlign w:val="center"/>
          </w:tcPr>
          <w:p>
            <w:pPr>
              <w:jc w:val="center"/>
              <w:rPr>
                <w:rFonts w:hint="eastAsia"/>
                <w:b/>
                <w:bCs/>
                <w:szCs w:val="32"/>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部分</w:t>
            </w:r>
          </w:p>
          <w:p>
            <w:pPr>
              <w:jc w:val="center"/>
              <w:rPr>
                <w:rFonts w:hint="eastAsia"/>
                <w:sz w:val="24"/>
                <w:szCs w:val="24"/>
              </w:rPr>
            </w:pPr>
            <w:r>
              <w:rPr>
                <w:rFonts w:hint="eastAsia"/>
                <w:sz w:val="24"/>
                <w:szCs w:val="24"/>
                <w:highlight w:val="none"/>
              </w:rPr>
              <w:t>（A）</w:t>
            </w:r>
          </w:p>
        </w:tc>
        <w:tc>
          <w:tcPr>
            <w:tcW w:w="788" w:type="dxa"/>
            <w:noWrap w:val="0"/>
            <w:vAlign w:val="center"/>
          </w:tcPr>
          <w:p>
            <w:pPr>
              <w:jc w:val="center"/>
              <w:rPr>
                <w:rFonts w:hint="eastAsia"/>
                <w:sz w:val="24"/>
                <w:szCs w:val="24"/>
              </w:rPr>
            </w:pPr>
            <w:r>
              <w:rPr>
                <w:rFonts w:hint="eastAsia"/>
                <w:sz w:val="24"/>
                <w:szCs w:val="24"/>
                <w:highlight w:val="none"/>
                <w:lang w:val="en-US" w:eastAsia="zh-CN"/>
              </w:rPr>
              <w:t>25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得分</w:t>
            </w:r>
          </w:p>
          <w:p>
            <w:pPr>
              <w:jc w:val="center"/>
              <w:rPr>
                <w:rFonts w:hint="eastAsia"/>
                <w:sz w:val="24"/>
                <w:szCs w:val="24"/>
              </w:rPr>
            </w:pPr>
            <w:r>
              <w:rPr>
                <w:rFonts w:hint="eastAsia"/>
                <w:sz w:val="24"/>
                <w:szCs w:val="24"/>
                <w:highlight w:val="none"/>
              </w:rPr>
              <w:t>（</w:t>
            </w:r>
            <w:r>
              <w:rPr>
                <w:rFonts w:hint="eastAsia"/>
                <w:sz w:val="24"/>
                <w:szCs w:val="24"/>
                <w:highlight w:val="none"/>
                <w:lang w:val="en-US" w:eastAsia="zh-CN"/>
              </w:rPr>
              <w:t>25</w:t>
            </w:r>
            <w:r>
              <w:rPr>
                <w:rFonts w:hint="eastAsia"/>
                <w:sz w:val="24"/>
                <w:szCs w:val="24"/>
                <w:highlight w:val="none"/>
              </w:rPr>
              <w:t>分）</w:t>
            </w:r>
          </w:p>
        </w:tc>
        <w:tc>
          <w:tcPr>
            <w:tcW w:w="6525" w:type="dxa"/>
            <w:noWrap w:val="0"/>
            <w:vAlign w:val="top"/>
          </w:tcPr>
          <w:p>
            <w:pPr>
              <w:rPr>
                <w:rFonts w:hint="eastAsia"/>
                <w:sz w:val="24"/>
                <w:szCs w:val="24"/>
              </w:rPr>
            </w:pPr>
            <w:r>
              <w:rPr>
                <w:rFonts w:hint="eastAsia"/>
                <w:sz w:val="24"/>
                <w:szCs w:val="24"/>
                <w:highlight w:val="none"/>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sz w:val="24"/>
                <w:szCs w:val="24"/>
                <w:highlight w:val="none"/>
                <w:lang w:val="en-US" w:eastAsia="zh-CN"/>
              </w:rPr>
              <w:t>25</w:t>
            </w:r>
            <w:r>
              <w:rPr>
                <w:rFonts w:hint="eastAsia"/>
                <w:sz w:val="24"/>
                <w:szCs w:val="24"/>
                <w:highlight w:val="none"/>
              </w:rPr>
              <w:t>。</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技术部分</w:t>
            </w:r>
          </w:p>
          <w:p>
            <w:pPr>
              <w:jc w:val="center"/>
              <w:rPr>
                <w:rFonts w:hint="eastAsia"/>
                <w:sz w:val="24"/>
                <w:szCs w:val="24"/>
              </w:rPr>
            </w:pPr>
            <w:r>
              <w:rPr>
                <w:rFonts w:hint="eastAsia"/>
                <w:sz w:val="24"/>
                <w:szCs w:val="24"/>
                <w:highlight w:val="none"/>
              </w:rPr>
              <w:t>（B）</w:t>
            </w:r>
          </w:p>
        </w:tc>
        <w:tc>
          <w:tcPr>
            <w:tcW w:w="788" w:type="dxa"/>
            <w:vMerge w:val="restart"/>
            <w:noWrap w:val="0"/>
            <w:vAlign w:val="center"/>
          </w:tcPr>
          <w:p>
            <w:pPr>
              <w:jc w:val="center"/>
              <w:rPr>
                <w:rFonts w:hint="eastAsia"/>
                <w:sz w:val="24"/>
                <w:szCs w:val="24"/>
              </w:rPr>
            </w:pPr>
            <w:r>
              <w:rPr>
                <w:rFonts w:hint="eastAsia"/>
                <w:sz w:val="24"/>
                <w:szCs w:val="24"/>
                <w:highlight w:val="none"/>
                <w:lang w:val="en-US" w:eastAsia="zh-CN"/>
              </w:rPr>
              <w:t>45</w:t>
            </w:r>
            <w:r>
              <w:rPr>
                <w:rFonts w:hint="eastAsia"/>
                <w:sz w:val="24"/>
                <w:szCs w:val="24"/>
                <w:highlight w:val="none"/>
              </w:rPr>
              <w:t>分</w:t>
            </w:r>
          </w:p>
        </w:tc>
        <w:tc>
          <w:tcPr>
            <w:tcW w:w="1290" w:type="dxa"/>
            <w:noWrap w:val="0"/>
            <w:vAlign w:val="center"/>
          </w:tcPr>
          <w:p>
            <w:pPr>
              <w:jc w:val="center"/>
              <w:rPr>
                <w:rFonts w:hint="eastAsia"/>
                <w:sz w:val="24"/>
                <w:szCs w:val="24"/>
              </w:rPr>
            </w:pPr>
            <w:r>
              <w:rPr>
                <w:rFonts w:hint="eastAsia"/>
                <w:sz w:val="24"/>
                <w:szCs w:val="24"/>
                <w:highlight w:val="none"/>
              </w:rPr>
              <w:t>B1、项目方案得分（</w:t>
            </w:r>
            <w:r>
              <w:rPr>
                <w:rFonts w:hint="eastAsia"/>
                <w:sz w:val="24"/>
                <w:szCs w:val="24"/>
                <w:highlight w:val="none"/>
                <w:lang w:val="en-US" w:eastAsia="zh-CN"/>
              </w:rPr>
              <w:t>3</w:t>
            </w:r>
            <w:r>
              <w:rPr>
                <w:rFonts w:hint="eastAsia"/>
                <w:sz w:val="24"/>
                <w:szCs w:val="24"/>
                <w:highlight w:val="none"/>
              </w:rPr>
              <w:t>0分）</w:t>
            </w:r>
          </w:p>
        </w:tc>
        <w:tc>
          <w:tcPr>
            <w:tcW w:w="6525" w:type="dxa"/>
            <w:noWrap w:val="0"/>
            <w:vAlign w:val="top"/>
          </w:tcPr>
          <w:p>
            <w:pPr>
              <w:rPr>
                <w:rFonts w:hint="eastAsia"/>
                <w:sz w:val="24"/>
                <w:szCs w:val="24"/>
              </w:rPr>
            </w:pPr>
            <w:r>
              <w:rPr>
                <w:rFonts w:hint="eastAsia"/>
                <w:sz w:val="24"/>
                <w:szCs w:val="24"/>
                <w:highlight w:val="none"/>
              </w:rPr>
              <w:t>针对该项目所制定的方案需包括</w:t>
            </w:r>
            <w:r>
              <w:rPr>
                <w:rFonts w:hint="eastAsia" w:ascii="仿宋_GB2312" w:hAnsi="仿宋_GB2312" w:cs="仿宋_GB2312"/>
                <w:sz w:val="24"/>
                <w:szCs w:val="24"/>
                <w:highlight w:val="none"/>
              </w:rPr>
              <w:t>实施规划、保障措施</w:t>
            </w:r>
            <w:r>
              <w:rPr>
                <w:rFonts w:hint="eastAsia"/>
                <w:sz w:val="24"/>
                <w:szCs w:val="24"/>
                <w:highlight w:val="none"/>
              </w:rPr>
              <w:t>。按照投标文件响应情况进行横向比较，分档评分：评价为优得</w:t>
            </w:r>
            <w:r>
              <w:rPr>
                <w:rFonts w:hint="eastAsia"/>
                <w:sz w:val="24"/>
                <w:szCs w:val="24"/>
                <w:highlight w:val="none"/>
                <w:lang w:val="en-US" w:eastAsia="zh-CN"/>
              </w:rPr>
              <w:t>30</w:t>
            </w:r>
            <w:r>
              <w:rPr>
                <w:rFonts w:hint="eastAsia"/>
                <w:sz w:val="24"/>
                <w:szCs w:val="24"/>
                <w:highlight w:val="none"/>
              </w:rPr>
              <w:t>分；评价为良得</w:t>
            </w:r>
            <w:r>
              <w:rPr>
                <w:rFonts w:hint="eastAsia"/>
                <w:sz w:val="24"/>
                <w:szCs w:val="24"/>
                <w:highlight w:val="none"/>
                <w:lang w:val="en-US" w:eastAsia="zh-CN"/>
              </w:rPr>
              <w:t>20</w:t>
            </w:r>
            <w:r>
              <w:rPr>
                <w:rFonts w:hint="eastAsia"/>
                <w:sz w:val="24"/>
                <w:szCs w:val="24"/>
                <w:highlight w:val="none"/>
              </w:rPr>
              <w:t>分；评价为中得</w:t>
            </w:r>
            <w:r>
              <w:rPr>
                <w:rFonts w:hint="eastAsia"/>
                <w:sz w:val="24"/>
                <w:szCs w:val="24"/>
                <w:highlight w:val="none"/>
                <w:lang w:val="en-US" w:eastAsia="zh-CN"/>
              </w:rPr>
              <w:t>10</w:t>
            </w:r>
            <w:r>
              <w:rPr>
                <w:rFonts w:hint="eastAsia"/>
                <w:sz w:val="24"/>
                <w:szCs w:val="24"/>
                <w:highlight w:val="none"/>
              </w:rPr>
              <w:t>分；评价为差得0分。</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B2、同类项目经验（</w:t>
            </w:r>
            <w:r>
              <w:rPr>
                <w:rFonts w:hint="eastAsia"/>
                <w:sz w:val="24"/>
                <w:szCs w:val="24"/>
                <w:highlight w:val="none"/>
                <w:lang w:val="en-US" w:eastAsia="zh-CN"/>
              </w:rPr>
              <w:t>15</w:t>
            </w:r>
            <w:r>
              <w:rPr>
                <w:rFonts w:hint="eastAsia"/>
                <w:sz w:val="24"/>
                <w:szCs w:val="24"/>
                <w:highlight w:val="none"/>
              </w:rPr>
              <w:t>分）</w:t>
            </w:r>
          </w:p>
        </w:tc>
        <w:tc>
          <w:tcPr>
            <w:tcW w:w="6525" w:type="dxa"/>
            <w:noWrap w:val="0"/>
            <w:vAlign w:val="top"/>
          </w:tcPr>
          <w:p>
            <w:pPr>
              <w:rPr>
                <w:rFonts w:hint="eastAsia" w:eastAsia="仿宋_GB2312"/>
                <w:sz w:val="24"/>
                <w:szCs w:val="24"/>
                <w:highlight w:val="none"/>
                <w:lang w:eastAsia="zh-CN"/>
              </w:rPr>
            </w:pPr>
            <w:r>
              <w:rPr>
                <w:rFonts w:hint="eastAsia"/>
                <w:sz w:val="24"/>
                <w:szCs w:val="24"/>
                <w:highlight w:val="none"/>
              </w:rPr>
              <w:t>投标人近</w:t>
            </w:r>
            <w:r>
              <w:rPr>
                <w:rFonts w:hint="eastAsia"/>
                <w:sz w:val="24"/>
                <w:szCs w:val="24"/>
                <w:highlight w:val="none"/>
                <w:lang w:val="en-US" w:eastAsia="zh-CN"/>
              </w:rPr>
              <w:t>5</w:t>
            </w:r>
            <w:r>
              <w:rPr>
                <w:rFonts w:hint="eastAsia"/>
                <w:sz w:val="24"/>
                <w:szCs w:val="24"/>
                <w:highlight w:val="none"/>
              </w:rPr>
              <w:t>年承接的政府</w:t>
            </w:r>
            <w:r>
              <w:rPr>
                <w:rFonts w:hint="eastAsia"/>
                <w:sz w:val="24"/>
                <w:szCs w:val="24"/>
                <w:highlight w:val="none"/>
                <w:lang w:eastAsia="zh-CN"/>
              </w:rPr>
              <w:t>或企业</w:t>
            </w:r>
            <w:r>
              <w:rPr>
                <w:rFonts w:hint="eastAsia"/>
                <w:sz w:val="24"/>
                <w:szCs w:val="24"/>
                <w:highlight w:val="none"/>
              </w:rPr>
              <w:t>相关项目成功案例</w:t>
            </w:r>
            <w:r>
              <w:rPr>
                <w:rFonts w:hint="eastAsia"/>
                <w:sz w:val="24"/>
                <w:szCs w:val="24"/>
                <w:highlight w:val="none"/>
                <w:lang w:eastAsia="zh-CN"/>
              </w:rPr>
              <w:t>，</w:t>
            </w:r>
            <w:r>
              <w:rPr>
                <w:rFonts w:hint="eastAsia"/>
                <w:sz w:val="24"/>
                <w:szCs w:val="24"/>
                <w:highlight w:val="none"/>
              </w:rPr>
              <w:t>每</w:t>
            </w:r>
            <w:r>
              <w:rPr>
                <w:rFonts w:hint="eastAsia"/>
                <w:sz w:val="24"/>
                <w:szCs w:val="24"/>
                <w:highlight w:val="none"/>
                <w:lang w:eastAsia="zh-CN"/>
              </w:rPr>
              <w:t>提供</w:t>
            </w:r>
            <w:r>
              <w:rPr>
                <w:rFonts w:hint="eastAsia"/>
                <w:sz w:val="24"/>
                <w:szCs w:val="24"/>
                <w:highlight w:val="none"/>
              </w:rPr>
              <w:t>一个</w:t>
            </w:r>
            <w:r>
              <w:rPr>
                <w:rFonts w:hint="eastAsia"/>
                <w:sz w:val="24"/>
                <w:szCs w:val="24"/>
                <w:highlight w:val="none"/>
                <w:lang w:eastAsia="zh-CN"/>
              </w:rPr>
              <w:t>得</w:t>
            </w:r>
            <w:r>
              <w:rPr>
                <w:rFonts w:hint="eastAsia"/>
                <w:sz w:val="24"/>
                <w:szCs w:val="24"/>
                <w:highlight w:val="none"/>
                <w:lang w:val="en-US" w:eastAsia="zh-CN"/>
              </w:rPr>
              <w:t>3</w:t>
            </w:r>
            <w:r>
              <w:rPr>
                <w:rFonts w:hint="eastAsia"/>
                <w:sz w:val="24"/>
                <w:szCs w:val="24"/>
                <w:highlight w:val="none"/>
              </w:rPr>
              <w:t>分（共</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得分至标准分为止（5万元以上，提供案例合同复印件，否则不得分）</w:t>
            </w:r>
            <w:r>
              <w:rPr>
                <w:rFonts w:hint="eastAsia"/>
                <w:sz w:val="24"/>
                <w:szCs w:val="24"/>
                <w:highlight w:val="none"/>
                <w:lang w:eastAsia="zh-CN"/>
              </w:rPr>
              <w:t>。</w:t>
            </w:r>
          </w:p>
          <w:p>
            <w:pPr>
              <w:rPr>
                <w:rFonts w:hint="eastAsia"/>
                <w:sz w:val="24"/>
                <w:szCs w:val="24"/>
              </w:rPr>
            </w:pPr>
            <w:r>
              <w:rPr>
                <w:rFonts w:hint="eastAsia"/>
                <w:sz w:val="24"/>
                <w:szCs w:val="24"/>
                <w:highlight w:val="none"/>
              </w:rPr>
              <w:t>注：涉及的项目经验指近5年（20</w:t>
            </w:r>
            <w:r>
              <w:rPr>
                <w:sz w:val="24"/>
                <w:szCs w:val="24"/>
                <w:highlight w:val="none"/>
              </w:rPr>
              <w:t>15</w:t>
            </w:r>
            <w:r>
              <w:rPr>
                <w:rFonts w:hint="eastAsia"/>
                <w:sz w:val="24"/>
                <w:szCs w:val="24"/>
                <w:highlight w:val="none"/>
              </w:rPr>
              <w:t>年1</w:t>
            </w:r>
            <w:r>
              <w:rPr>
                <w:sz w:val="24"/>
                <w:szCs w:val="24"/>
                <w:highlight w:val="none"/>
              </w:rPr>
              <w:t>1</w:t>
            </w:r>
            <w:r>
              <w:rPr>
                <w:rFonts w:hint="eastAsia"/>
                <w:sz w:val="24"/>
                <w:szCs w:val="24"/>
                <w:highlight w:val="none"/>
              </w:rPr>
              <w:t>月1日后，以合同签订日期为准）的项目。</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rPr>
            </w:pPr>
          </w:p>
        </w:tc>
        <w:tc>
          <w:tcPr>
            <w:tcW w:w="8603" w:type="dxa"/>
            <w:gridSpan w:val="3"/>
            <w:noWrap w:val="0"/>
            <w:vAlign w:val="top"/>
          </w:tcPr>
          <w:p>
            <w:pPr>
              <w:jc w:val="center"/>
              <w:rPr>
                <w:rFonts w:hint="eastAsia"/>
              </w:rPr>
            </w:pPr>
            <w:r>
              <w:rPr>
                <w:rFonts w:hint="eastAsia"/>
                <w:sz w:val="24"/>
                <w:szCs w:val="24"/>
                <w:highlight w:val="none"/>
              </w:rPr>
              <w:t>技术部分得分（B）=B1+B2</w:t>
            </w:r>
          </w:p>
        </w:tc>
        <w:tc>
          <w:tcPr>
            <w:tcW w:w="977" w:type="dxa"/>
            <w:noWrap w:val="0"/>
            <w:vAlign w:val="top"/>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14" w:type="dxa"/>
            <w:vMerge w:val="restart"/>
            <w:noWrap w:val="0"/>
            <w:vAlign w:val="center"/>
          </w:tcPr>
          <w:p>
            <w:pPr>
              <w:jc w:val="center"/>
              <w:rPr>
                <w:rFonts w:hint="eastAsia"/>
                <w:sz w:val="24"/>
                <w:szCs w:val="24"/>
              </w:rPr>
            </w:pPr>
            <w:r>
              <w:rPr>
                <w:rFonts w:hint="eastAsia"/>
                <w:sz w:val="24"/>
                <w:szCs w:val="24"/>
                <w:highlight w:val="none"/>
              </w:rPr>
              <w:t>商务部分（C）</w:t>
            </w:r>
          </w:p>
        </w:tc>
        <w:tc>
          <w:tcPr>
            <w:tcW w:w="788" w:type="dxa"/>
            <w:vMerge w:val="restart"/>
            <w:noWrap w:val="0"/>
            <w:vAlign w:val="center"/>
          </w:tcPr>
          <w:p>
            <w:pPr>
              <w:jc w:val="center"/>
              <w:rPr>
                <w:rFonts w:hint="eastAsia"/>
                <w:sz w:val="24"/>
                <w:szCs w:val="24"/>
              </w:rPr>
            </w:pPr>
            <w:r>
              <w:rPr>
                <w:rFonts w:hint="eastAsia"/>
                <w:sz w:val="24"/>
                <w:szCs w:val="24"/>
                <w:highlight w:val="none"/>
              </w:rPr>
              <w:t>2</w:t>
            </w:r>
            <w:r>
              <w:rPr>
                <w:rFonts w:hint="eastAsia"/>
                <w:sz w:val="24"/>
                <w:szCs w:val="24"/>
                <w:highlight w:val="none"/>
                <w:lang w:val="en-US" w:eastAsia="zh-CN"/>
              </w:rPr>
              <w:t>5</w:t>
            </w:r>
            <w:r>
              <w:rPr>
                <w:rFonts w:hint="eastAsia"/>
                <w:sz w:val="24"/>
                <w:szCs w:val="24"/>
                <w:highlight w:val="none"/>
              </w:rPr>
              <w:t>分</w:t>
            </w:r>
          </w:p>
        </w:tc>
        <w:tc>
          <w:tcPr>
            <w:tcW w:w="1290" w:type="dxa"/>
            <w:noWrap w:val="0"/>
            <w:vAlign w:val="center"/>
          </w:tcPr>
          <w:p>
            <w:pPr>
              <w:jc w:val="center"/>
              <w:rPr>
                <w:rFonts w:hint="eastAsia"/>
                <w:sz w:val="24"/>
                <w:szCs w:val="24"/>
              </w:rPr>
            </w:pPr>
            <w:r>
              <w:rPr>
                <w:rFonts w:hint="eastAsia"/>
                <w:sz w:val="24"/>
                <w:szCs w:val="24"/>
                <w:highlight w:val="none"/>
              </w:rPr>
              <w:t>C1、团队实力（10分）</w:t>
            </w:r>
          </w:p>
        </w:tc>
        <w:tc>
          <w:tcPr>
            <w:tcW w:w="6525" w:type="dxa"/>
            <w:noWrap w:val="0"/>
            <w:vAlign w:val="top"/>
          </w:tcPr>
          <w:p>
            <w:pPr>
              <w:rPr>
                <w:rFonts w:hint="eastAsia"/>
                <w:sz w:val="24"/>
                <w:szCs w:val="24"/>
                <w:highlight w:val="none"/>
              </w:rPr>
            </w:pPr>
            <w:r>
              <w:rPr>
                <w:rFonts w:hint="eastAsia"/>
                <w:sz w:val="24"/>
                <w:szCs w:val="24"/>
                <w:highlight w:val="none"/>
              </w:rPr>
              <w:t>本项目负责人担任过同类项目管理经验10年以上得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5年以上得5分</w:t>
            </w:r>
            <w:r>
              <w:rPr>
                <w:rFonts w:hint="eastAsia"/>
                <w:sz w:val="24"/>
                <w:szCs w:val="24"/>
                <w:highlight w:val="none"/>
              </w:rPr>
              <w:t>（10分）；</w:t>
            </w:r>
          </w:p>
          <w:p>
            <w:pPr>
              <w:rPr>
                <w:rFonts w:hint="eastAsia"/>
                <w:sz w:val="24"/>
                <w:szCs w:val="24"/>
              </w:rPr>
            </w:pPr>
            <w:r>
              <w:rPr>
                <w:rFonts w:hint="eastAsia"/>
                <w:sz w:val="24"/>
                <w:szCs w:val="24"/>
                <w:highlight w:val="none"/>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C2、售后服务（10分）</w:t>
            </w:r>
          </w:p>
        </w:tc>
        <w:tc>
          <w:tcPr>
            <w:tcW w:w="6525" w:type="dxa"/>
            <w:noWrap w:val="0"/>
            <w:vAlign w:val="top"/>
          </w:tcPr>
          <w:p>
            <w:pPr>
              <w:rPr>
                <w:rFonts w:hint="eastAsia"/>
                <w:sz w:val="24"/>
                <w:szCs w:val="24"/>
              </w:rPr>
            </w:pPr>
            <w:r>
              <w:rPr>
                <w:rFonts w:hint="eastAsia"/>
                <w:sz w:val="24"/>
                <w:szCs w:val="24"/>
                <w:highlight w:val="none"/>
              </w:rPr>
              <w:t>售后服务承诺详细、具体，满足用户要求且优于其他投标人售后服务承诺，并承诺在项目实施过程中能够按照客户方的需求不断完善和改进，以满足客户方的功能需求，明确服务年限、设计服务及时到位的得10分；售后服务周到，具有较完善服务体系的得5分；售后服务体系不完备的得0分。</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1290" w:type="dxa"/>
            <w:noWrap w:val="0"/>
            <w:vAlign w:val="center"/>
          </w:tcPr>
          <w:p>
            <w:pPr>
              <w:jc w:val="center"/>
              <w:rPr>
                <w:rFonts w:hint="eastAsia"/>
                <w:sz w:val="24"/>
                <w:szCs w:val="24"/>
              </w:rPr>
            </w:pPr>
            <w:r>
              <w:rPr>
                <w:rFonts w:hint="eastAsia"/>
                <w:sz w:val="24"/>
                <w:szCs w:val="24"/>
                <w:highlight w:val="none"/>
              </w:rPr>
              <w:t>C</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诚信承诺</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分）</w:t>
            </w:r>
          </w:p>
        </w:tc>
        <w:tc>
          <w:tcPr>
            <w:tcW w:w="6525" w:type="dxa"/>
            <w:noWrap w:val="0"/>
            <w:vAlign w:val="top"/>
          </w:tcPr>
          <w:p>
            <w:pPr>
              <w:rPr>
                <w:rFonts w:hint="eastAsia"/>
                <w:sz w:val="24"/>
                <w:szCs w:val="24"/>
              </w:rPr>
            </w:pPr>
            <w:r>
              <w:rPr>
                <w:rFonts w:hint="eastAsia"/>
                <w:sz w:val="24"/>
                <w:szCs w:val="24"/>
                <w:highlight w:val="none"/>
                <w:lang w:val="en-US" w:eastAsia="zh-CN"/>
              </w:rPr>
              <w:t>根</w:t>
            </w:r>
            <w:r>
              <w:rPr>
                <w:rFonts w:hint="eastAsia"/>
                <w:sz w:val="24"/>
                <w:szCs w:val="24"/>
                <w:highlight w:val="none"/>
              </w:rPr>
              <w:t>据《深圳市政府采购投标人诚信管理暂行办法》相关规定，投标人在参与政府采购活动中出现诚信相关问题且在相关主管部门处理措施实施期限内的本项不得分，否则得</w:t>
            </w:r>
            <w:r>
              <w:rPr>
                <w:rFonts w:hint="eastAsia"/>
                <w:sz w:val="24"/>
                <w:szCs w:val="24"/>
                <w:highlight w:val="none"/>
                <w:lang w:val="en-US" w:eastAsia="zh-CN"/>
              </w:rPr>
              <w:t>5</w:t>
            </w:r>
            <w:r>
              <w:rPr>
                <w:rFonts w:hint="eastAsia"/>
                <w:sz w:val="24"/>
                <w:szCs w:val="24"/>
                <w:highlight w:val="none"/>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rPr>
            </w:pPr>
          </w:p>
        </w:tc>
        <w:tc>
          <w:tcPr>
            <w:tcW w:w="788" w:type="dxa"/>
            <w:vMerge w:val="continue"/>
            <w:noWrap w:val="0"/>
            <w:vAlign w:val="center"/>
          </w:tcPr>
          <w:p>
            <w:pPr>
              <w:jc w:val="center"/>
              <w:rPr>
                <w:rFonts w:hint="eastAsia"/>
                <w:sz w:val="24"/>
                <w:szCs w:val="24"/>
              </w:rPr>
            </w:pPr>
          </w:p>
        </w:tc>
        <w:tc>
          <w:tcPr>
            <w:tcW w:w="7815" w:type="dxa"/>
            <w:gridSpan w:val="2"/>
            <w:noWrap w:val="0"/>
            <w:vAlign w:val="center"/>
          </w:tcPr>
          <w:p>
            <w:pPr>
              <w:jc w:val="center"/>
              <w:rPr>
                <w:rFonts w:hint="default" w:eastAsia="仿宋_GB2312"/>
                <w:sz w:val="24"/>
                <w:szCs w:val="24"/>
                <w:lang w:val="en-US" w:eastAsia="zh-CN"/>
              </w:rPr>
            </w:pPr>
            <w:r>
              <w:rPr>
                <w:rFonts w:hint="eastAsia"/>
                <w:sz w:val="24"/>
                <w:szCs w:val="24"/>
                <w:highlight w:val="none"/>
              </w:rPr>
              <w:t>商务部分得分（C）=C1+C2</w:t>
            </w:r>
            <w:r>
              <w:rPr>
                <w:rFonts w:hint="eastAsia"/>
                <w:sz w:val="24"/>
                <w:szCs w:val="24"/>
                <w:highlight w:val="none"/>
                <w:lang w:val="en-US" w:eastAsia="zh-CN"/>
              </w:rPr>
              <w:t>+C3</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疫情防控</w:t>
            </w:r>
          </w:p>
          <w:p>
            <w:pPr>
              <w:jc w:val="center"/>
              <w:rPr>
                <w:rFonts w:hint="eastAsia"/>
                <w:sz w:val="24"/>
                <w:szCs w:val="24"/>
              </w:rPr>
            </w:pPr>
            <w:r>
              <w:rPr>
                <w:rFonts w:hint="eastAsia"/>
                <w:sz w:val="24"/>
                <w:szCs w:val="24"/>
                <w:highlight w:val="none"/>
              </w:rPr>
              <w:t>（D）</w:t>
            </w:r>
          </w:p>
        </w:tc>
        <w:tc>
          <w:tcPr>
            <w:tcW w:w="788" w:type="dxa"/>
            <w:vMerge w:val="restart"/>
            <w:noWrap w:val="0"/>
            <w:vAlign w:val="center"/>
          </w:tcPr>
          <w:p>
            <w:pPr>
              <w:jc w:val="center"/>
            </w:pPr>
            <w:r>
              <w:rPr>
                <w:rFonts w:hint="eastAsia"/>
                <w:sz w:val="24"/>
                <w:szCs w:val="24"/>
                <w:highlight w:val="none"/>
              </w:rPr>
              <w:t>5分</w:t>
            </w:r>
          </w:p>
        </w:tc>
        <w:tc>
          <w:tcPr>
            <w:tcW w:w="1290" w:type="dxa"/>
            <w:noWrap w:val="0"/>
            <w:vAlign w:val="center"/>
          </w:tcPr>
          <w:p>
            <w:pPr>
              <w:jc w:val="center"/>
              <w:rPr>
                <w:rFonts w:hint="default"/>
                <w:sz w:val="24"/>
                <w:szCs w:val="24"/>
                <w:highlight w:val="none"/>
                <w:lang w:val="en-US"/>
              </w:rPr>
            </w:pPr>
            <w:r>
              <w:rPr>
                <w:rFonts w:hint="eastAsia"/>
                <w:sz w:val="24"/>
                <w:szCs w:val="24"/>
                <w:highlight w:val="none"/>
                <w:lang w:val="en-US" w:eastAsia="zh-CN"/>
              </w:rPr>
              <w:t>D1、疫情防控企业</w:t>
            </w:r>
          </w:p>
          <w:p>
            <w:pPr>
              <w:jc w:val="cente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分）</w:t>
            </w:r>
          </w:p>
        </w:tc>
        <w:tc>
          <w:tcPr>
            <w:tcW w:w="6525" w:type="dxa"/>
            <w:noWrap w:val="0"/>
            <w:vAlign w:val="center"/>
          </w:tcPr>
          <w:p>
            <w:pPr>
              <w:jc w:val="both"/>
              <w:rPr>
                <w:rFonts w:hint="eastAsia" w:eastAsia="仿宋_GB2312"/>
                <w:lang w:eastAsia="zh-CN"/>
              </w:rPr>
            </w:pPr>
            <w:r>
              <w:rPr>
                <w:rFonts w:hint="eastAsia"/>
                <w:sz w:val="24"/>
                <w:szCs w:val="24"/>
                <w:highlight w:val="none"/>
              </w:rPr>
              <w:t>疫情防控重点企业此评分项中满分为3分，具体按以下方式评分：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r>
              <w:rPr>
                <w:rFonts w:hint="eastAsia"/>
                <w:sz w:val="24"/>
                <w:szCs w:val="24"/>
                <w:highlight w:val="none"/>
                <w:lang w:eastAsia="zh-CN"/>
              </w:rPr>
              <w:t>。</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default"/>
                <w:sz w:val="24"/>
                <w:szCs w:val="24"/>
                <w:highlight w:val="none"/>
                <w:lang w:val="en-US"/>
              </w:rPr>
            </w:pPr>
            <w:r>
              <w:rPr>
                <w:rFonts w:hint="eastAsia"/>
                <w:sz w:val="24"/>
                <w:szCs w:val="24"/>
                <w:highlight w:val="none"/>
                <w:lang w:val="en-US" w:eastAsia="zh-CN"/>
              </w:rPr>
              <w:t>D2、稳岗企业</w:t>
            </w:r>
          </w:p>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分）</w:t>
            </w:r>
          </w:p>
        </w:tc>
        <w:tc>
          <w:tcPr>
            <w:tcW w:w="6525" w:type="dxa"/>
            <w:noWrap w:val="0"/>
            <w:vAlign w:val="center"/>
          </w:tcPr>
          <w:p>
            <w:pPr>
              <w:jc w:val="both"/>
              <w:rPr>
                <w:rFonts w:hint="eastAsia"/>
                <w:sz w:val="24"/>
                <w:szCs w:val="24"/>
                <w:highlight w:val="none"/>
              </w:rPr>
            </w:pPr>
            <w:r>
              <w:rPr>
                <w:rFonts w:hint="eastAsia"/>
                <w:sz w:val="24"/>
                <w:szCs w:val="24"/>
                <w:highlight w:val="none"/>
              </w:rPr>
              <w:t>稳岗企业此评分项中满分为2分。具体按以下方式评分：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7815" w:type="dxa"/>
            <w:gridSpan w:val="2"/>
            <w:noWrap w:val="0"/>
            <w:vAlign w:val="center"/>
          </w:tcPr>
          <w:p>
            <w:pPr>
              <w:jc w:val="center"/>
              <w:rPr>
                <w:rFonts w:hint="default" w:eastAsia="仿宋_GB2312"/>
                <w:sz w:val="24"/>
                <w:szCs w:val="24"/>
                <w:highlight w:val="none"/>
                <w:lang w:val="en-US" w:eastAsia="zh-CN"/>
              </w:rPr>
            </w:pPr>
            <w:r>
              <w:rPr>
                <w:rFonts w:hint="eastAsia"/>
                <w:sz w:val="24"/>
                <w:szCs w:val="24"/>
                <w:highlight w:val="none"/>
                <w:lang w:val="en-US" w:eastAsia="zh-CN"/>
              </w:rPr>
              <w:t>疫情防控得分（D）=D1+D2</w:t>
            </w:r>
          </w:p>
        </w:tc>
        <w:tc>
          <w:tcPr>
            <w:tcW w:w="977" w:type="dxa"/>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default" w:eastAsia="仿宋_GB2312"/>
                <w:sz w:val="24"/>
                <w:szCs w:val="24"/>
                <w:highlight w:val="none"/>
                <w:lang w:val="en-US" w:eastAsia="zh-CN"/>
              </w:rPr>
            </w:pPr>
            <w:r>
              <w:rPr>
                <w:rFonts w:hint="eastAsia"/>
                <w:sz w:val="24"/>
                <w:szCs w:val="24"/>
                <w:highlight w:val="none"/>
              </w:rPr>
              <w:t>评标总得分 Z = A + B + C</w:t>
            </w:r>
            <w:r>
              <w:rPr>
                <w:rFonts w:hint="eastAsia"/>
                <w:sz w:val="24"/>
                <w:szCs w:val="24"/>
                <w:highlight w:val="none"/>
                <w:lang w:val="en-US" w:eastAsia="zh-CN"/>
              </w:rPr>
              <w:t>+D</w:t>
            </w:r>
          </w:p>
        </w:tc>
        <w:tc>
          <w:tcPr>
            <w:tcW w:w="977" w:type="dxa"/>
            <w:noWrap w:val="0"/>
            <w:vAlign w:val="center"/>
          </w:tcPr>
          <w:p>
            <w:pPr>
              <w:rPr>
                <w:rFonts w:hint="eastAsia"/>
                <w:sz w:val="30"/>
                <w:szCs w:val="30"/>
                <w:highlight w:val="none"/>
              </w:rPr>
            </w:pPr>
          </w:p>
        </w:tc>
      </w:tr>
    </w:tbl>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F3089"/>
    <w:rsid w:val="50561E41"/>
    <w:rsid w:val="550F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2020-11-26T10:04:00Z</dcterms:created>
  <dc:creator>Darcya</dc:creator>
  <cp:lastModifiedBy>Darcya</cp:lastModifiedBy>
  <dcterms:modified xsi:type="dcterms:W3CDTF">2020-11-26T10:12:50Z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