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val="0"/>
        <w:bidi w:val="0"/>
        <w:adjustRightInd/>
        <w:snapToGrid/>
        <w:spacing w:line="520" w:lineRule="exact"/>
        <w:ind w:right="320"/>
        <w:textAlignment w:val="auto"/>
        <w:rPr>
          <w:rFonts w:hint="eastAsia" w:ascii="黑体" w:hAnsi="黑体" w:eastAsia="黑体" w:cs="黑体"/>
          <w:szCs w:val="32"/>
          <w:highlight w:val="none"/>
          <w:lang w:val="en-US" w:eastAsia="zh-CN" w:bidi="ar"/>
        </w:rPr>
      </w:pPr>
      <w:r>
        <w:rPr>
          <w:rFonts w:hint="eastAsia" w:ascii="黑体" w:hAnsi="黑体" w:eastAsia="黑体" w:cs="黑体"/>
          <w:szCs w:val="32"/>
          <w:highlight w:val="none"/>
          <w:lang w:bidi="ar"/>
        </w:rPr>
        <w:t>附件</w:t>
      </w:r>
      <w:r>
        <w:rPr>
          <w:rFonts w:hint="eastAsia" w:ascii="黑体" w:hAnsi="黑体" w:eastAsia="黑体" w:cs="黑体"/>
          <w:szCs w:val="32"/>
          <w:highlight w:val="none"/>
          <w:lang w:val="en-US" w:eastAsia="zh-CN" w:bidi="ar"/>
        </w:rPr>
        <w:t>1</w:t>
      </w:r>
    </w:p>
    <w:p>
      <w:pPr>
        <w:spacing w:line="570" w:lineRule="exact"/>
        <w:jc w:val="center"/>
        <w:rPr>
          <w:rFonts w:hint="eastAsia" w:ascii="方正小标宋_GBK" w:hAnsi="方正小标宋_GBK" w:eastAsia="方正小标宋_GBK" w:cs="方正小标宋_GBK"/>
          <w:sz w:val="44"/>
          <w:szCs w:val="44"/>
          <w:highlight w:val="none"/>
        </w:rPr>
      </w:pPr>
      <w:bookmarkStart w:id="0" w:name="_GoBack"/>
      <w:r>
        <w:rPr>
          <w:rFonts w:hint="eastAsia" w:ascii="方正小标宋_GBK" w:hAnsi="方正小标宋_GBK" w:eastAsia="方正小标宋_GBK" w:cs="方正小标宋_GBK"/>
          <w:sz w:val="44"/>
          <w:szCs w:val="44"/>
          <w:highlight w:val="none"/>
        </w:rPr>
        <w:t>深圳市退役军人服务中心政治文化</w:t>
      </w:r>
      <w:r>
        <w:rPr>
          <w:rFonts w:hint="eastAsia" w:ascii="方正小标宋_GBK" w:hAnsi="方正小标宋_GBK" w:eastAsia="方正小标宋_GBK" w:cs="方正小标宋_GBK"/>
          <w:sz w:val="44"/>
          <w:szCs w:val="44"/>
          <w:highlight w:val="none"/>
          <w:lang w:val="en-US" w:eastAsia="zh-CN"/>
        </w:rPr>
        <w:t>建</w:t>
      </w:r>
      <w:r>
        <w:rPr>
          <w:rFonts w:hint="eastAsia" w:ascii="方正小标宋_GBK" w:hAnsi="方正小标宋_GBK" w:eastAsia="方正小标宋_GBK" w:cs="方正小标宋_GBK"/>
          <w:sz w:val="44"/>
          <w:szCs w:val="44"/>
          <w:highlight w:val="none"/>
        </w:rPr>
        <w:t>设</w:t>
      </w:r>
    </w:p>
    <w:p>
      <w:pPr>
        <w:spacing w:line="570" w:lineRule="exact"/>
        <w:jc w:val="center"/>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项目综合评分表</w:t>
      </w:r>
      <w:bookmarkEnd w:id="0"/>
    </w:p>
    <w:tbl>
      <w:tblPr>
        <w:tblStyle w:val="3"/>
        <w:tblW w:w="10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788"/>
        <w:gridCol w:w="1290"/>
        <w:gridCol w:w="6525"/>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blHeader/>
          <w:jc w:val="center"/>
        </w:trPr>
        <w:tc>
          <w:tcPr>
            <w:tcW w:w="1314" w:type="dxa"/>
            <w:noWrap w:val="0"/>
            <w:vAlign w:val="center"/>
          </w:tcPr>
          <w:p>
            <w:pPr>
              <w:jc w:val="center"/>
              <w:rPr>
                <w:rFonts w:hint="eastAsia"/>
                <w:b/>
                <w:bCs/>
                <w:sz w:val="24"/>
                <w:szCs w:val="24"/>
                <w:highlight w:val="none"/>
              </w:rPr>
            </w:pPr>
            <w:r>
              <w:rPr>
                <w:rFonts w:hint="eastAsia"/>
                <w:b/>
                <w:bCs/>
                <w:sz w:val="24"/>
                <w:szCs w:val="24"/>
                <w:highlight w:val="none"/>
              </w:rPr>
              <w:t>评分因素</w:t>
            </w:r>
          </w:p>
        </w:tc>
        <w:tc>
          <w:tcPr>
            <w:tcW w:w="788" w:type="dxa"/>
            <w:noWrap w:val="0"/>
            <w:vAlign w:val="center"/>
          </w:tcPr>
          <w:p>
            <w:pPr>
              <w:jc w:val="center"/>
              <w:rPr>
                <w:rFonts w:hint="eastAsia"/>
                <w:b/>
                <w:bCs/>
                <w:sz w:val="24"/>
                <w:szCs w:val="24"/>
                <w:highlight w:val="none"/>
              </w:rPr>
            </w:pPr>
            <w:r>
              <w:rPr>
                <w:rFonts w:hint="eastAsia"/>
                <w:b/>
                <w:bCs/>
                <w:sz w:val="24"/>
                <w:szCs w:val="24"/>
                <w:highlight w:val="none"/>
              </w:rPr>
              <w:t>分值</w:t>
            </w:r>
          </w:p>
        </w:tc>
        <w:tc>
          <w:tcPr>
            <w:tcW w:w="1290" w:type="dxa"/>
            <w:noWrap w:val="0"/>
            <w:vAlign w:val="center"/>
          </w:tcPr>
          <w:p>
            <w:pPr>
              <w:jc w:val="center"/>
              <w:rPr>
                <w:rFonts w:hint="eastAsia"/>
                <w:b/>
                <w:bCs/>
                <w:sz w:val="24"/>
                <w:szCs w:val="24"/>
                <w:highlight w:val="none"/>
              </w:rPr>
            </w:pPr>
            <w:r>
              <w:rPr>
                <w:rFonts w:hint="eastAsia"/>
                <w:b/>
                <w:bCs/>
                <w:sz w:val="24"/>
                <w:szCs w:val="24"/>
                <w:highlight w:val="none"/>
              </w:rPr>
              <w:t>评分内容</w:t>
            </w:r>
          </w:p>
        </w:tc>
        <w:tc>
          <w:tcPr>
            <w:tcW w:w="6525" w:type="dxa"/>
            <w:noWrap w:val="0"/>
            <w:vAlign w:val="center"/>
          </w:tcPr>
          <w:p>
            <w:pPr>
              <w:jc w:val="center"/>
              <w:rPr>
                <w:rFonts w:hint="eastAsia"/>
                <w:b/>
                <w:bCs/>
                <w:sz w:val="24"/>
                <w:szCs w:val="24"/>
                <w:highlight w:val="none"/>
              </w:rPr>
            </w:pPr>
            <w:r>
              <w:rPr>
                <w:rFonts w:hint="eastAsia"/>
                <w:b/>
                <w:bCs/>
                <w:sz w:val="24"/>
                <w:szCs w:val="24"/>
                <w:highlight w:val="none"/>
              </w:rPr>
              <w:t>评  分  标  准</w:t>
            </w:r>
          </w:p>
        </w:tc>
        <w:tc>
          <w:tcPr>
            <w:tcW w:w="977" w:type="dxa"/>
            <w:noWrap w:val="0"/>
            <w:vAlign w:val="center"/>
          </w:tcPr>
          <w:p>
            <w:pPr>
              <w:jc w:val="center"/>
              <w:rPr>
                <w:rFonts w:hint="eastAsia"/>
                <w:b/>
                <w:bCs/>
                <w:szCs w:val="32"/>
                <w:highlight w:val="none"/>
              </w:rPr>
            </w:pPr>
            <w:r>
              <w:rPr>
                <w:rFonts w:hint="eastAsia"/>
                <w:b/>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1314" w:type="dxa"/>
            <w:noWrap w:val="0"/>
            <w:vAlign w:val="center"/>
          </w:tcPr>
          <w:p>
            <w:pPr>
              <w:jc w:val="center"/>
              <w:rPr>
                <w:rFonts w:hint="eastAsia"/>
                <w:sz w:val="24"/>
                <w:szCs w:val="24"/>
                <w:highlight w:val="none"/>
              </w:rPr>
            </w:pPr>
            <w:r>
              <w:rPr>
                <w:rFonts w:hint="eastAsia"/>
                <w:sz w:val="24"/>
                <w:szCs w:val="24"/>
                <w:highlight w:val="none"/>
              </w:rPr>
              <w:t>报价</w:t>
            </w:r>
          </w:p>
          <w:p>
            <w:pPr>
              <w:jc w:val="center"/>
              <w:rPr>
                <w:rFonts w:hint="eastAsia"/>
                <w:sz w:val="24"/>
                <w:szCs w:val="24"/>
                <w:highlight w:val="none"/>
              </w:rPr>
            </w:pPr>
            <w:r>
              <w:rPr>
                <w:rFonts w:hint="eastAsia"/>
                <w:sz w:val="24"/>
                <w:szCs w:val="24"/>
                <w:highlight w:val="none"/>
              </w:rPr>
              <w:t>部分</w:t>
            </w:r>
          </w:p>
          <w:p>
            <w:pPr>
              <w:jc w:val="center"/>
              <w:rPr>
                <w:rFonts w:hint="eastAsia"/>
                <w:sz w:val="24"/>
                <w:szCs w:val="24"/>
                <w:highlight w:val="none"/>
              </w:rPr>
            </w:pPr>
            <w:r>
              <w:rPr>
                <w:rFonts w:hint="eastAsia"/>
                <w:sz w:val="24"/>
                <w:szCs w:val="24"/>
                <w:highlight w:val="none"/>
              </w:rPr>
              <w:t>（A）</w:t>
            </w:r>
          </w:p>
        </w:tc>
        <w:tc>
          <w:tcPr>
            <w:tcW w:w="788" w:type="dxa"/>
            <w:noWrap w:val="0"/>
            <w:vAlign w:val="center"/>
          </w:tcPr>
          <w:p>
            <w:pPr>
              <w:jc w:val="center"/>
              <w:rPr>
                <w:rFonts w:hint="eastAsia"/>
                <w:sz w:val="24"/>
                <w:szCs w:val="24"/>
                <w:highlight w:val="none"/>
              </w:rPr>
            </w:pPr>
            <w:r>
              <w:rPr>
                <w:rFonts w:hint="eastAsia"/>
                <w:sz w:val="24"/>
                <w:szCs w:val="24"/>
                <w:highlight w:val="none"/>
                <w:lang w:val="en-US" w:eastAsia="zh-CN"/>
              </w:rPr>
              <w:t>25</w:t>
            </w:r>
            <w:r>
              <w:rPr>
                <w:rFonts w:hint="eastAsia"/>
                <w:sz w:val="24"/>
                <w:szCs w:val="24"/>
                <w:highlight w:val="none"/>
              </w:rPr>
              <w:t>分</w:t>
            </w:r>
          </w:p>
        </w:tc>
        <w:tc>
          <w:tcPr>
            <w:tcW w:w="1290" w:type="dxa"/>
            <w:noWrap w:val="0"/>
            <w:vAlign w:val="center"/>
          </w:tcPr>
          <w:p>
            <w:pPr>
              <w:jc w:val="center"/>
              <w:rPr>
                <w:rFonts w:hint="eastAsia"/>
                <w:sz w:val="24"/>
                <w:szCs w:val="24"/>
                <w:highlight w:val="none"/>
              </w:rPr>
            </w:pPr>
            <w:r>
              <w:rPr>
                <w:rFonts w:hint="eastAsia"/>
                <w:sz w:val="24"/>
                <w:szCs w:val="24"/>
                <w:highlight w:val="none"/>
              </w:rPr>
              <w:t>报价</w:t>
            </w:r>
          </w:p>
          <w:p>
            <w:pPr>
              <w:jc w:val="center"/>
              <w:rPr>
                <w:rFonts w:hint="eastAsia"/>
                <w:sz w:val="24"/>
                <w:szCs w:val="24"/>
                <w:highlight w:val="none"/>
              </w:rPr>
            </w:pPr>
            <w:r>
              <w:rPr>
                <w:rFonts w:hint="eastAsia"/>
                <w:sz w:val="24"/>
                <w:szCs w:val="24"/>
                <w:highlight w:val="none"/>
              </w:rPr>
              <w:t>得分</w:t>
            </w:r>
          </w:p>
          <w:p>
            <w:pPr>
              <w:jc w:val="center"/>
              <w:rPr>
                <w:rFonts w:hint="eastAsia"/>
                <w:sz w:val="24"/>
                <w:szCs w:val="24"/>
                <w:highlight w:val="none"/>
              </w:rPr>
            </w:pPr>
            <w:r>
              <w:rPr>
                <w:rFonts w:hint="eastAsia"/>
                <w:sz w:val="24"/>
                <w:szCs w:val="24"/>
                <w:highlight w:val="none"/>
              </w:rPr>
              <w:t>（</w:t>
            </w:r>
            <w:r>
              <w:rPr>
                <w:rFonts w:hint="eastAsia"/>
                <w:sz w:val="24"/>
                <w:szCs w:val="24"/>
                <w:highlight w:val="none"/>
                <w:lang w:val="en-US" w:eastAsia="zh-CN"/>
              </w:rPr>
              <w:t>25</w:t>
            </w:r>
            <w:r>
              <w:rPr>
                <w:rFonts w:hint="eastAsia"/>
                <w:sz w:val="24"/>
                <w:szCs w:val="24"/>
                <w:highlight w:val="none"/>
              </w:rPr>
              <w:t>分）</w:t>
            </w:r>
          </w:p>
        </w:tc>
        <w:tc>
          <w:tcPr>
            <w:tcW w:w="6525" w:type="dxa"/>
            <w:noWrap w:val="0"/>
            <w:vAlign w:val="top"/>
          </w:tcPr>
          <w:p>
            <w:pPr>
              <w:rPr>
                <w:rFonts w:hint="eastAsia"/>
                <w:sz w:val="24"/>
                <w:szCs w:val="24"/>
                <w:highlight w:val="none"/>
              </w:rPr>
            </w:pPr>
            <w:r>
              <w:rPr>
                <w:rFonts w:hint="eastAsia"/>
                <w:sz w:val="24"/>
                <w:szCs w:val="24"/>
                <w:highlight w:val="none"/>
              </w:rPr>
              <w:t>报价得分按照低价优先法计算，即满足采购招标需求且方案报价最低的投标人报价为评标基准价，其价格分为满分，其他供应商的价格得分统一按照下列公式计算：报价得分=(评标基准价／方案报价)×</w:t>
            </w:r>
            <w:r>
              <w:rPr>
                <w:rFonts w:hint="eastAsia"/>
                <w:sz w:val="24"/>
                <w:szCs w:val="24"/>
                <w:highlight w:val="none"/>
                <w:lang w:val="en-US" w:eastAsia="zh-CN"/>
              </w:rPr>
              <w:t>25</w:t>
            </w:r>
            <w:r>
              <w:rPr>
                <w:rFonts w:hint="eastAsia"/>
                <w:sz w:val="24"/>
                <w:szCs w:val="24"/>
                <w:highlight w:val="none"/>
              </w:rPr>
              <w:t>。</w:t>
            </w:r>
          </w:p>
        </w:tc>
        <w:tc>
          <w:tcPr>
            <w:tcW w:w="977" w:type="dxa"/>
            <w:noWrap w:val="0"/>
            <w:vAlign w:val="top"/>
          </w:tcPr>
          <w:p>
            <w:pPr>
              <w:rPr>
                <w:rFonts w:hint="eastAsia"/>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1314" w:type="dxa"/>
            <w:vMerge w:val="restart"/>
            <w:noWrap w:val="0"/>
            <w:vAlign w:val="center"/>
          </w:tcPr>
          <w:p>
            <w:pPr>
              <w:jc w:val="center"/>
              <w:rPr>
                <w:rFonts w:hint="eastAsia"/>
                <w:sz w:val="24"/>
                <w:szCs w:val="24"/>
                <w:highlight w:val="none"/>
              </w:rPr>
            </w:pPr>
            <w:r>
              <w:rPr>
                <w:rFonts w:hint="eastAsia"/>
                <w:sz w:val="24"/>
                <w:szCs w:val="24"/>
                <w:highlight w:val="none"/>
              </w:rPr>
              <w:t>技术部分</w:t>
            </w:r>
          </w:p>
          <w:p>
            <w:pPr>
              <w:jc w:val="center"/>
              <w:rPr>
                <w:rFonts w:hint="eastAsia"/>
                <w:sz w:val="24"/>
                <w:szCs w:val="24"/>
                <w:highlight w:val="none"/>
              </w:rPr>
            </w:pPr>
            <w:r>
              <w:rPr>
                <w:rFonts w:hint="eastAsia"/>
                <w:sz w:val="24"/>
                <w:szCs w:val="24"/>
                <w:highlight w:val="none"/>
              </w:rPr>
              <w:t>（B）</w:t>
            </w:r>
          </w:p>
        </w:tc>
        <w:tc>
          <w:tcPr>
            <w:tcW w:w="788" w:type="dxa"/>
            <w:vMerge w:val="restart"/>
            <w:noWrap w:val="0"/>
            <w:vAlign w:val="center"/>
          </w:tcPr>
          <w:p>
            <w:pPr>
              <w:jc w:val="center"/>
              <w:rPr>
                <w:rFonts w:hint="eastAsia"/>
                <w:sz w:val="24"/>
                <w:szCs w:val="24"/>
                <w:highlight w:val="none"/>
              </w:rPr>
            </w:pPr>
            <w:r>
              <w:rPr>
                <w:rFonts w:hint="eastAsia"/>
                <w:sz w:val="24"/>
                <w:szCs w:val="24"/>
                <w:highlight w:val="none"/>
                <w:lang w:val="en-US" w:eastAsia="zh-CN"/>
              </w:rPr>
              <w:t>45</w:t>
            </w:r>
            <w:r>
              <w:rPr>
                <w:rFonts w:hint="eastAsia"/>
                <w:sz w:val="24"/>
                <w:szCs w:val="24"/>
                <w:highlight w:val="none"/>
              </w:rPr>
              <w:t>分</w:t>
            </w:r>
          </w:p>
        </w:tc>
        <w:tc>
          <w:tcPr>
            <w:tcW w:w="1290" w:type="dxa"/>
            <w:noWrap w:val="0"/>
            <w:vAlign w:val="center"/>
          </w:tcPr>
          <w:p>
            <w:pPr>
              <w:jc w:val="center"/>
              <w:rPr>
                <w:rFonts w:hint="eastAsia"/>
                <w:sz w:val="24"/>
                <w:szCs w:val="24"/>
                <w:highlight w:val="none"/>
              </w:rPr>
            </w:pPr>
            <w:r>
              <w:rPr>
                <w:rFonts w:hint="eastAsia"/>
                <w:sz w:val="24"/>
                <w:szCs w:val="24"/>
                <w:highlight w:val="none"/>
              </w:rPr>
              <w:t>B1、项目方案得分（</w:t>
            </w:r>
            <w:r>
              <w:rPr>
                <w:rFonts w:hint="eastAsia"/>
                <w:sz w:val="24"/>
                <w:szCs w:val="24"/>
                <w:highlight w:val="none"/>
                <w:lang w:val="en-US" w:eastAsia="zh-CN"/>
              </w:rPr>
              <w:t>30</w:t>
            </w:r>
            <w:r>
              <w:rPr>
                <w:rFonts w:hint="eastAsia"/>
                <w:sz w:val="24"/>
                <w:szCs w:val="24"/>
                <w:highlight w:val="none"/>
              </w:rPr>
              <w:t>分）</w:t>
            </w:r>
          </w:p>
        </w:tc>
        <w:tc>
          <w:tcPr>
            <w:tcW w:w="6525" w:type="dxa"/>
            <w:noWrap w:val="0"/>
            <w:vAlign w:val="top"/>
          </w:tcPr>
          <w:p>
            <w:pPr>
              <w:rPr>
                <w:rFonts w:hint="eastAsia"/>
                <w:sz w:val="24"/>
                <w:szCs w:val="24"/>
                <w:highlight w:val="none"/>
              </w:rPr>
            </w:pPr>
            <w:r>
              <w:rPr>
                <w:rFonts w:hint="eastAsia"/>
                <w:sz w:val="24"/>
                <w:szCs w:val="24"/>
                <w:highlight w:val="none"/>
              </w:rPr>
              <w:t>针对该项目所制定的方案需包括</w:t>
            </w:r>
            <w:r>
              <w:rPr>
                <w:rFonts w:hint="eastAsia" w:ascii="仿宋_GB2312" w:hAnsi="仿宋_GB2312" w:cs="仿宋_GB2312"/>
                <w:sz w:val="24"/>
                <w:szCs w:val="24"/>
                <w:highlight w:val="none"/>
              </w:rPr>
              <w:t>实施规划、保障措施</w:t>
            </w:r>
            <w:r>
              <w:rPr>
                <w:rFonts w:hint="eastAsia"/>
                <w:sz w:val="24"/>
                <w:szCs w:val="24"/>
                <w:highlight w:val="none"/>
              </w:rPr>
              <w:t>。按照投标文件响应情况进行横向比较，分档评分：评价为优得</w:t>
            </w:r>
            <w:r>
              <w:rPr>
                <w:rFonts w:hint="eastAsia"/>
                <w:sz w:val="24"/>
                <w:szCs w:val="24"/>
                <w:highlight w:val="none"/>
                <w:lang w:val="en-US" w:eastAsia="zh-CN"/>
              </w:rPr>
              <w:t>30</w:t>
            </w:r>
            <w:r>
              <w:rPr>
                <w:rFonts w:hint="eastAsia"/>
                <w:sz w:val="24"/>
                <w:szCs w:val="24"/>
                <w:highlight w:val="none"/>
              </w:rPr>
              <w:t>分；评价为良得</w:t>
            </w:r>
            <w:r>
              <w:rPr>
                <w:rFonts w:hint="eastAsia"/>
                <w:sz w:val="24"/>
                <w:szCs w:val="24"/>
                <w:highlight w:val="none"/>
                <w:lang w:val="en-US" w:eastAsia="zh-CN"/>
              </w:rPr>
              <w:t>20</w:t>
            </w:r>
            <w:r>
              <w:rPr>
                <w:rFonts w:hint="eastAsia"/>
                <w:sz w:val="24"/>
                <w:szCs w:val="24"/>
                <w:highlight w:val="none"/>
              </w:rPr>
              <w:t>分；评价为中得</w:t>
            </w:r>
            <w:r>
              <w:rPr>
                <w:rFonts w:hint="eastAsia"/>
                <w:sz w:val="24"/>
                <w:szCs w:val="24"/>
                <w:highlight w:val="none"/>
                <w:lang w:val="en-US" w:eastAsia="zh-CN"/>
              </w:rPr>
              <w:t>10</w:t>
            </w:r>
            <w:r>
              <w:rPr>
                <w:rFonts w:hint="eastAsia"/>
                <w:sz w:val="24"/>
                <w:szCs w:val="24"/>
                <w:highlight w:val="none"/>
              </w:rPr>
              <w:t>分；评价为差得0分。</w:t>
            </w:r>
          </w:p>
        </w:tc>
        <w:tc>
          <w:tcPr>
            <w:tcW w:w="977" w:type="dxa"/>
            <w:noWrap w:val="0"/>
            <w:vAlign w:val="top"/>
          </w:tcPr>
          <w:p>
            <w:pPr>
              <w:rPr>
                <w:rFonts w:hint="eastAsia"/>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jc w:val="center"/>
        </w:trPr>
        <w:tc>
          <w:tcPr>
            <w:tcW w:w="1314" w:type="dxa"/>
            <w:vMerge w:val="continue"/>
            <w:noWrap w:val="0"/>
            <w:vAlign w:val="center"/>
          </w:tcPr>
          <w:p>
            <w:pPr>
              <w:jc w:val="center"/>
              <w:rPr>
                <w:rFonts w:hint="eastAsia"/>
                <w:sz w:val="24"/>
                <w:szCs w:val="24"/>
                <w:highlight w:val="none"/>
              </w:rPr>
            </w:pPr>
          </w:p>
        </w:tc>
        <w:tc>
          <w:tcPr>
            <w:tcW w:w="788" w:type="dxa"/>
            <w:vMerge w:val="continue"/>
            <w:noWrap w:val="0"/>
            <w:vAlign w:val="center"/>
          </w:tcPr>
          <w:p>
            <w:pPr>
              <w:jc w:val="center"/>
              <w:rPr>
                <w:rFonts w:hint="eastAsia"/>
                <w:sz w:val="24"/>
                <w:szCs w:val="24"/>
                <w:highlight w:val="none"/>
              </w:rPr>
            </w:pPr>
          </w:p>
        </w:tc>
        <w:tc>
          <w:tcPr>
            <w:tcW w:w="1290" w:type="dxa"/>
            <w:noWrap w:val="0"/>
            <w:vAlign w:val="center"/>
          </w:tcPr>
          <w:p>
            <w:pPr>
              <w:jc w:val="center"/>
              <w:rPr>
                <w:rFonts w:hint="eastAsia"/>
                <w:sz w:val="24"/>
                <w:szCs w:val="24"/>
                <w:highlight w:val="none"/>
              </w:rPr>
            </w:pPr>
            <w:r>
              <w:rPr>
                <w:rFonts w:hint="eastAsia"/>
                <w:sz w:val="24"/>
                <w:szCs w:val="24"/>
                <w:highlight w:val="none"/>
              </w:rPr>
              <w:t>B2、同类项目经验（</w:t>
            </w:r>
            <w:r>
              <w:rPr>
                <w:rFonts w:hint="eastAsia"/>
                <w:sz w:val="24"/>
                <w:szCs w:val="24"/>
                <w:highlight w:val="none"/>
                <w:lang w:val="en-US" w:eastAsia="zh-CN"/>
              </w:rPr>
              <w:t>15</w:t>
            </w:r>
            <w:r>
              <w:rPr>
                <w:rFonts w:hint="eastAsia"/>
                <w:sz w:val="24"/>
                <w:szCs w:val="24"/>
                <w:highlight w:val="none"/>
              </w:rPr>
              <w:t>分）</w:t>
            </w:r>
          </w:p>
        </w:tc>
        <w:tc>
          <w:tcPr>
            <w:tcW w:w="6525" w:type="dxa"/>
            <w:noWrap w:val="0"/>
            <w:vAlign w:val="top"/>
          </w:tcPr>
          <w:p>
            <w:pPr>
              <w:rPr>
                <w:rFonts w:hint="eastAsia" w:eastAsia="仿宋_GB2312"/>
                <w:sz w:val="24"/>
                <w:szCs w:val="24"/>
                <w:highlight w:val="none"/>
                <w:lang w:eastAsia="zh-CN"/>
              </w:rPr>
            </w:pPr>
            <w:r>
              <w:rPr>
                <w:rFonts w:hint="eastAsia"/>
                <w:sz w:val="24"/>
                <w:szCs w:val="24"/>
                <w:highlight w:val="none"/>
              </w:rPr>
              <w:t>投标人近</w:t>
            </w:r>
            <w:r>
              <w:rPr>
                <w:rFonts w:hint="eastAsia"/>
                <w:sz w:val="24"/>
                <w:szCs w:val="24"/>
                <w:highlight w:val="none"/>
                <w:lang w:val="en-US" w:eastAsia="zh-CN"/>
              </w:rPr>
              <w:t>5</w:t>
            </w:r>
            <w:r>
              <w:rPr>
                <w:rFonts w:hint="eastAsia"/>
                <w:sz w:val="24"/>
                <w:szCs w:val="24"/>
                <w:highlight w:val="none"/>
              </w:rPr>
              <w:t>年承接的政府</w:t>
            </w:r>
            <w:r>
              <w:rPr>
                <w:rFonts w:hint="eastAsia"/>
                <w:sz w:val="24"/>
                <w:szCs w:val="24"/>
                <w:highlight w:val="none"/>
                <w:lang w:eastAsia="zh-CN"/>
              </w:rPr>
              <w:t>或企业</w:t>
            </w:r>
            <w:r>
              <w:rPr>
                <w:rFonts w:hint="eastAsia"/>
                <w:sz w:val="24"/>
                <w:szCs w:val="24"/>
                <w:highlight w:val="none"/>
              </w:rPr>
              <w:t>相关项目成功案例</w:t>
            </w:r>
            <w:r>
              <w:rPr>
                <w:rFonts w:hint="eastAsia"/>
                <w:sz w:val="24"/>
                <w:szCs w:val="24"/>
                <w:highlight w:val="none"/>
                <w:lang w:eastAsia="zh-CN"/>
              </w:rPr>
              <w:t>，</w:t>
            </w:r>
            <w:r>
              <w:rPr>
                <w:rFonts w:hint="eastAsia"/>
                <w:sz w:val="24"/>
                <w:szCs w:val="24"/>
                <w:highlight w:val="none"/>
              </w:rPr>
              <w:t>每</w:t>
            </w:r>
            <w:r>
              <w:rPr>
                <w:rFonts w:hint="eastAsia"/>
                <w:sz w:val="24"/>
                <w:szCs w:val="24"/>
                <w:highlight w:val="none"/>
                <w:lang w:eastAsia="zh-CN"/>
              </w:rPr>
              <w:t>提供</w:t>
            </w:r>
            <w:r>
              <w:rPr>
                <w:rFonts w:hint="eastAsia"/>
                <w:sz w:val="24"/>
                <w:szCs w:val="24"/>
                <w:highlight w:val="none"/>
              </w:rPr>
              <w:t>一个</w:t>
            </w:r>
            <w:r>
              <w:rPr>
                <w:rFonts w:hint="eastAsia"/>
                <w:sz w:val="24"/>
                <w:szCs w:val="24"/>
                <w:highlight w:val="none"/>
                <w:lang w:eastAsia="zh-CN"/>
              </w:rPr>
              <w:t>得</w:t>
            </w:r>
            <w:r>
              <w:rPr>
                <w:rFonts w:hint="eastAsia"/>
                <w:sz w:val="24"/>
                <w:szCs w:val="24"/>
                <w:highlight w:val="none"/>
                <w:lang w:val="en-US" w:eastAsia="zh-CN"/>
              </w:rPr>
              <w:t>3</w:t>
            </w:r>
            <w:r>
              <w:rPr>
                <w:rFonts w:hint="eastAsia"/>
                <w:sz w:val="24"/>
                <w:szCs w:val="24"/>
                <w:highlight w:val="none"/>
              </w:rPr>
              <w:t>分（共</w:t>
            </w:r>
            <w:r>
              <w:rPr>
                <w:rFonts w:hint="eastAsia"/>
                <w:sz w:val="24"/>
                <w:szCs w:val="24"/>
                <w:highlight w:val="none"/>
                <w:lang w:val="en-US" w:eastAsia="zh-CN"/>
              </w:rPr>
              <w:t>15</w:t>
            </w:r>
            <w:r>
              <w:rPr>
                <w:rFonts w:hint="eastAsia"/>
                <w:sz w:val="24"/>
                <w:szCs w:val="24"/>
                <w:highlight w:val="none"/>
              </w:rPr>
              <w:t>分）</w:t>
            </w:r>
            <w:r>
              <w:rPr>
                <w:rFonts w:hint="eastAsia"/>
                <w:sz w:val="24"/>
                <w:szCs w:val="24"/>
                <w:highlight w:val="none"/>
                <w:lang w:eastAsia="zh-CN"/>
              </w:rPr>
              <w:t>，</w:t>
            </w:r>
            <w:r>
              <w:rPr>
                <w:rFonts w:hint="eastAsia"/>
                <w:sz w:val="24"/>
                <w:szCs w:val="24"/>
                <w:highlight w:val="none"/>
              </w:rPr>
              <w:t>得分至标准分为止（5万元以上，提供案例合同复印件，否则不得分</w:t>
            </w:r>
            <w:r>
              <w:rPr>
                <w:rFonts w:hint="eastAsia"/>
                <w:sz w:val="24"/>
                <w:szCs w:val="24"/>
                <w:highlight w:val="none"/>
                <w:lang w:eastAsia="zh-CN"/>
              </w:rPr>
              <w:t>）。</w:t>
            </w:r>
          </w:p>
          <w:p>
            <w:pPr>
              <w:rPr>
                <w:rFonts w:hint="eastAsia"/>
                <w:sz w:val="24"/>
                <w:szCs w:val="24"/>
                <w:highlight w:val="none"/>
              </w:rPr>
            </w:pPr>
            <w:r>
              <w:rPr>
                <w:rFonts w:hint="eastAsia"/>
                <w:sz w:val="24"/>
                <w:szCs w:val="24"/>
                <w:highlight w:val="none"/>
              </w:rPr>
              <w:t>注：涉及的项目经验指近5年（20</w:t>
            </w:r>
            <w:r>
              <w:rPr>
                <w:sz w:val="24"/>
                <w:szCs w:val="24"/>
                <w:highlight w:val="none"/>
              </w:rPr>
              <w:t>15</w:t>
            </w:r>
            <w:r>
              <w:rPr>
                <w:rFonts w:hint="eastAsia"/>
                <w:sz w:val="24"/>
                <w:szCs w:val="24"/>
                <w:highlight w:val="none"/>
              </w:rPr>
              <w:t>年1</w:t>
            </w:r>
            <w:r>
              <w:rPr>
                <w:sz w:val="24"/>
                <w:szCs w:val="24"/>
                <w:highlight w:val="none"/>
              </w:rPr>
              <w:t>1</w:t>
            </w:r>
            <w:r>
              <w:rPr>
                <w:rFonts w:hint="eastAsia"/>
                <w:sz w:val="24"/>
                <w:szCs w:val="24"/>
                <w:highlight w:val="none"/>
              </w:rPr>
              <w:t>月1日后，以合同签订日期为准）的项目。</w:t>
            </w:r>
          </w:p>
        </w:tc>
        <w:tc>
          <w:tcPr>
            <w:tcW w:w="977" w:type="dxa"/>
            <w:noWrap w:val="0"/>
            <w:vAlign w:val="top"/>
          </w:tcPr>
          <w:p>
            <w:pPr>
              <w:rPr>
                <w:rFonts w:hint="eastAsia"/>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314" w:type="dxa"/>
            <w:vMerge w:val="continue"/>
            <w:noWrap w:val="0"/>
            <w:vAlign w:val="center"/>
          </w:tcPr>
          <w:p>
            <w:pPr>
              <w:rPr>
                <w:rFonts w:hint="eastAsia"/>
                <w:sz w:val="24"/>
                <w:szCs w:val="24"/>
                <w:highlight w:val="none"/>
              </w:rPr>
            </w:pPr>
          </w:p>
        </w:tc>
        <w:tc>
          <w:tcPr>
            <w:tcW w:w="8603" w:type="dxa"/>
            <w:gridSpan w:val="3"/>
            <w:noWrap w:val="0"/>
            <w:vAlign w:val="top"/>
          </w:tcPr>
          <w:p>
            <w:pPr>
              <w:jc w:val="center"/>
              <w:rPr>
                <w:rFonts w:hint="eastAsia"/>
                <w:highlight w:val="none"/>
              </w:rPr>
            </w:pPr>
            <w:r>
              <w:rPr>
                <w:rFonts w:hint="eastAsia"/>
                <w:sz w:val="24"/>
                <w:szCs w:val="24"/>
                <w:highlight w:val="none"/>
              </w:rPr>
              <w:t>技术部分得分（B）=B1+B2</w:t>
            </w:r>
          </w:p>
        </w:tc>
        <w:tc>
          <w:tcPr>
            <w:tcW w:w="977" w:type="dxa"/>
            <w:noWrap w:val="0"/>
            <w:vAlign w:val="top"/>
          </w:tcPr>
          <w:p>
            <w:pPr>
              <w:jc w:val="center"/>
              <w:rPr>
                <w:rFonts w:hint="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1314" w:type="dxa"/>
            <w:vMerge w:val="restart"/>
            <w:noWrap w:val="0"/>
            <w:vAlign w:val="center"/>
          </w:tcPr>
          <w:p>
            <w:pPr>
              <w:jc w:val="center"/>
              <w:rPr>
                <w:rFonts w:hint="eastAsia"/>
                <w:sz w:val="24"/>
                <w:szCs w:val="24"/>
                <w:highlight w:val="none"/>
              </w:rPr>
            </w:pPr>
            <w:r>
              <w:rPr>
                <w:rFonts w:hint="eastAsia"/>
                <w:sz w:val="24"/>
                <w:szCs w:val="24"/>
                <w:highlight w:val="none"/>
              </w:rPr>
              <w:t>商务部分（C）</w:t>
            </w:r>
          </w:p>
        </w:tc>
        <w:tc>
          <w:tcPr>
            <w:tcW w:w="788" w:type="dxa"/>
            <w:vMerge w:val="restart"/>
            <w:noWrap w:val="0"/>
            <w:vAlign w:val="center"/>
          </w:tcPr>
          <w:p>
            <w:pPr>
              <w:jc w:val="center"/>
              <w:rPr>
                <w:rFonts w:hint="eastAsia"/>
                <w:sz w:val="24"/>
                <w:szCs w:val="24"/>
                <w:highlight w:val="none"/>
              </w:rPr>
            </w:pPr>
            <w:r>
              <w:rPr>
                <w:rFonts w:hint="eastAsia"/>
                <w:sz w:val="24"/>
                <w:szCs w:val="24"/>
                <w:highlight w:val="none"/>
              </w:rPr>
              <w:t>2</w:t>
            </w:r>
            <w:r>
              <w:rPr>
                <w:rFonts w:hint="eastAsia"/>
                <w:sz w:val="24"/>
                <w:szCs w:val="24"/>
                <w:highlight w:val="none"/>
                <w:lang w:val="en-US" w:eastAsia="zh-CN"/>
              </w:rPr>
              <w:t>5</w:t>
            </w:r>
            <w:r>
              <w:rPr>
                <w:rFonts w:hint="eastAsia"/>
                <w:sz w:val="24"/>
                <w:szCs w:val="24"/>
                <w:highlight w:val="none"/>
              </w:rPr>
              <w:t>分</w:t>
            </w:r>
          </w:p>
        </w:tc>
        <w:tc>
          <w:tcPr>
            <w:tcW w:w="1290" w:type="dxa"/>
            <w:noWrap w:val="0"/>
            <w:vAlign w:val="center"/>
          </w:tcPr>
          <w:p>
            <w:pPr>
              <w:jc w:val="center"/>
              <w:rPr>
                <w:rFonts w:hint="eastAsia"/>
                <w:sz w:val="24"/>
                <w:szCs w:val="24"/>
                <w:highlight w:val="none"/>
              </w:rPr>
            </w:pPr>
            <w:r>
              <w:rPr>
                <w:rFonts w:hint="eastAsia"/>
                <w:sz w:val="24"/>
                <w:szCs w:val="24"/>
                <w:highlight w:val="none"/>
              </w:rPr>
              <w:t>C1、团队实力（10分）</w:t>
            </w:r>
          </w:p>
        </w:tc>
        <w:tc>
          <w:tcPr>
            <w:tcW w:w="6525" w:type="dxa"/>
            <w:noWrap w:val="0"/>
            <w:vAlign w:val="top"/>
          </w:tcPr>
          <w:p>
            <w:pPr>
              <w:rPr>
                <w:rFonts w:hint="eastAsia"/>
                <w:sz w:val="24"/>
                <w:szCs w:val="24"/>
                <w:highlight w:val="none"/>
              </w:rPr>
            </w:pPr>
            <w:r>
              <w:rPr>
                <w:rFonts w:hint="eastAsia"/>
                <w:sz w:val="24"/>
                <w:szCs w:val="24"/>
                <w:highlight w:val="none"/>
              </w:rPr>
              <w:t>本项目负责人担任过同类项目管理经验10年以上得</w:t>
            </w:r>
            <w:r>
              <w:rPr>
                <w:rFonts w:hint="eastAsia"/>
                <w:sz w:val="24"/>
                <w:szCs w:val="24"/>
                <w:highlight w:val="none"/>
                <w:lang w:val="en-US" w:eastAsia="zh-CN"/>
              </w:rPr>
              <w:t>10</w:t>
            </w:r>
            <w:r>
              <w:rPr>
                <w:rFonts w:hint="eastAsia"/>
                <w:sz w:val="24"/>
                <w:szCs w:val="24"/>
                <w:highlight w:val="none"/>
              </w:rPr>
              <w:t>分</w:t>
            </w:r>
            <w:r>
              <w:rPr>
                <w:rFonts w:hint="eastAsia"/>
                <w:sz w:val="24"/>
                <w:szCs w:val="24"/>
                <w:highlight w:val="none"/>
                <w:lang w:eastAsia="zh-CN"/>
              </w:rPr>
              <w:t>；</w:t>
            </w:r>
            <w:r>
              <w:rPr>
                <w:rFonts w:hint="eastAsia"/>
                <w:sz w:val="24"/>
                <w:szCs w:val="24"/>
                <w:highlight w:val="none"/>
                <w:lang w:val="en-US" w:eastAsia="zh-CN"/>
              </w:rPr>
              <w:t>5年以上得5分</w:t>
            </w:r>
            <w:r>
              <w:rPr>
                <w:rFonts w:hint="eastAsia"/>
                <w:sz w:val="24"/>
                <w:szCs w:val="24"/>
                <w:highlight w:val="none"/>
              </w:rPr>
              <w:t>（10分）；</w:t>
            </w:r>
          </w:p>
          <w:p>
            <w:pPr>
              <w:rPr>
                <w:rFonts w:hint="eastAsia"/>
                <w:sz w:val="24"/>
                <w:szCs w:val="24"/>
                <w:highlight w:val="none"/>
              </w:rPr>
            </w:pPr>
            <w:r>
              <w:rPr>
                <w:rFonts w:hint="eastAsia"/>
                <w:sz w:val="24"/>
                <w:szCs w:val="24"/>
                <w:highlight w:val="none"/>
              </w:rPr>
              <w:t>证明文件：投标人须提供相关有效业绩的合同关键页（证明文件中须清晰体现项目签订时间、项目金额、项目内容等）复印件加盖投标人公章。</w:t>
            </w:r>
          </w:p>
        </w:tc>
        <w:tc>
          <w:tcPr>
            <w:tcW w:w="977" w:type="dxa"/>
            <w:noWrap w:val="0"/>
            <w:vAlign w:val="top"/>
          </w:tcPr>
          <w:p>
            <w:pPr>
              <w:rPr>
                <w:rFonts w:hint="eastAsia"/>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1314" w:type="dxa"/>
            <w:vMerge w:val="continue"/>
            <w:noWrap w:val="0"/>
            <w:vAlign w:val="center"/>
          </w:tcPr>
          <w:p>
            <w:pPr>
              <w:jc w:val="center"/>
              <w:rPr>
                <w:rFonts w:hint="eastAsia"/>
                <w:sz w:val="24"/>
                <w:szCs w:val="24"/>
                <w:highlight w:val="none"/>
              </w:rPr>
            </w:pPr>
          </w:p>
        </w:tc>
        <w:tc>
          <w:tcPr>
            <w:tcW w:w="788" w:type="dxa"/>
            <w:vMerge w:val="continue"/>
            <w:noWrap w:val="0"/>
            <w:vAlign w:val="center"/>
          </w:tcPr>
          <w:p>
            <w:pPr>
              <w:jc w:val="center"/>
              <w:rPr>
                <w:rFonts w:hint="eastAsia"/>
                <w:sz w:val="24"/>
                <w:szCs w:val="24"/>
                <w:highlight w:val="none"/>
              </w:rPr>
            </w:pPr>
          </w:p>
        </w:tc>
        <w:tc>
          <w:tcPr>
            <w:tcW w:w="1290" w:type="dxa"/>
            <w:noWrap w:val="0"/>
            <w:vAlign w:val="center"/>
          </w:tcPr>
          <w:p>
            <w:pPr>
              <w:jc w:val="center"/>
              <w:rPr>
                <w:rFonts w:hint="eastAsia" w:ascii="Times New Roman" w:hAnsi="Times New Roman" w:eastAsia="仿宋_GB2312"/>
                <w:spacing w:val="10"/>
                <w:kern w:val="2"/>
                <w:sz w:val="24"/>
                <w:szCs w:val="24"/>
                <w:highlight w:val="none"/>
                <w:lang w:val="en-US" w:eastAsia="zh-CN" w:bidi="ar-SA"/>
              </w:rPr>
            </w:pPr>
            <w:r>
              <w:rPr>
                <w:rFonts w:hint="eastAsia"/>
                <w:sz w:val="24"/>
                <w:szCs w:val="24"/>
                <w:highlight w:val="none"/>
              </w:rPr>
              <w:t>C2、售后服务（10分）</w:t>
            </w:r>
          </w:p>
        </w:tc>
        <w:tc>
          <w:tcPr>
            <w:tcW w:w="6525" w:type="dxa"/>
            <w:noWrap w:val="0"/>
            <w:vAlign w:val="top"/>
          </w:tcPr>
          <w:p>
            <w:pPr>
              <w:rPr>
                <w:rFonts w:hint="eastAsia" w:ascii="Times New Roman" w:hAnsi="Times New Roman" w:eastAsia="仿宋_GB2312"/>
                <w:spacing w:val="10"/>
                <w:kern w:val="2"/>
                <w:sz w:val="24"/>
                <w:szCs w:val="24"/>
                <w:highlight w:val="none"/>
                <w:lang w:val="en-US" w:eastAsia="zh-CN" w:bidi="ar-SA"/>
              </w:rPr>
            </w:pPr>
            <w:r>
              <w:rPr>
                <w:rFonts w:hint="eastAsia"/>
                <w:sz w:val="24"/>
                <w:szCs w:val="24"/>
                <w:highlight w:val="none"/>
              </w:rPr>
              <w:t>售后服务承诺详细、具体，满足用户要求且优于其他投标人售后服务承诺，并承诺在项目实施过程中能够按照客户方的需求不断完善和改进，以满足客户方的功能需求，明确服务年限、设计服务及时到位的得10分；售后服务周到，</w:t>
            </w:r>
            <w:r>
              <w:rPr>
                <w:rFonts w:hint="eastAsia"/>
                <w:sz w:val="24"/>
                <w:szCs w:val="24"/>
                <w:highlight w:val="none"/>
                <w:lang w:val="en-US" w:eastAsia="zh-CN"/>
              </w:rPr>
              <w:t>具有</w:t>
            </w:r>
            <w:r>
              <w:rPr>
                <w:rFonts w:hint="eastAsia"/>
                <w:sz w:val="24"/>
                <w:szCs w:val="24"/>
                <w:highlight w:val="none"/>
              </w:rPr>
              <w:t>较完善服务体系的得5分；售后服务体系不完备的得0分。</w:t>
            </w:r>
          </w:p>
        </w:tc>
        <w:tc>
          <w:tcPr>
            <w:tcW w:w="977" w:type="dxa"/>
            <w:noWrap w:val="0"/>
            <w:vAlign w:val="top"/>
          </w:tcPr>
          <w:p>
            <w:pPr>
              <w:rPr>
                <w:rFonts w:hint="eastAsia"/>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1314" w:type="dxa"/>
            <w:vMerge w:val="continue"/>
            <w:noWrap w:val="0"/>
            <w:vAlign w:val="center"/>
          </w:tcPr>
          <w:p>
            <w:pPr>
              <w:jc w:val="center"/>
              <w:rPr>
                <w:rFonts w:hint="eastAsia"/>
                <w:sz w:val="24"/>
                <w:szCs w:val="24"/>
                <w:highlight w:val="none"/>
              </w:rPr>
            </w:pPr>
          </w:p>
        </w:tc>
        <w:tc>
          <w:tcPr>
            <w:tcW w:w="788" w:type="dxa"/>
            <w:vMerge w:val="continue"/>
            <w:noWrap w:val="0"/>
            <w:vAlign w:val="center"/>
          </w:tcPr>
          <w:p>
            <w:pPr>
              <w:jc w:val="center"/>
              <w:rPr>
                <w:rFonts w:hint="eastAsia"/>
                <w:sz w:val="24"/>
                <w:szCs w:val="24"/>
                <w:highlight w:val="none"/>
              </w:rPr>
            </w:pPr>
          </w:p>
        </w:tc>
        <w:tc>
          <w:tcPr>
            <w:tcW w:w="1290" w:type="dxa"/>
            <w:noWrap w:val="0"/>
            <w:vAlign w:val="center"/>
          </w:tcPr>
          <w:p>
            <w:pPr>
              <w:jc w:val="center"/>
              <w:rPr>
                <w:rFonts w:hint="eastAsia"/>
                <w:sz w:val="24"/>
                <w:szCs w:val="24"/>
                <w:highlight w:val="none"/>
              </w:rPr>
            </w:pPr>
            <w:r>
              <w:rPr>
                <w:rFonts w:hint="eastAsia"/>
                <w:sz w:val="24"/>
                <w:szCs w:val="24"/>
                <w:highlight w:val="none"/>
              </w:rPr>
              <w:t>C</w:t>
            </w:r>
            <w:r>
              <w:rPr>
                <w:rFonts w:hint="eastAsia"/>
                <w:sz w:val="24"/>
                <w:szCs w:val="24"/>
                <w:highlight w:val="none"/>
                <w:lang w:val="en-US" w:eastAsia="zh-CN"/>
              </w:rPr>
              <w:t>3</w:t>
            </w:r>
            <w:r>
              <w:rPr>
                <w:rFonts w:hint="eastAsia"/>
                <w:sz w:val="24"/>
                <w:szCs w:val="24"/>
                <w:highlight w:val="none"/>
              </w:rPr>
              <w:t>、</w:t>
            </w:r>
            <w:r>
              <w:rPr>
                <w:rFonts w:hint="eastAsia"/>
                <w:sz w:val="24"/>
                <w:szCs w:val="24"/>
                <w:highlight w:val="none"/>
                <w:lang w:eastAsia="zh-CN"/>
              </w:rPr>
              <w:t>诚信承诺</w:t>
            </w:r>
            <w:r>
              <w:rPr>
                <w:rFonts w:hint="eastAsia"/>
                <w:sz w:val="24"/>
                <w:szCs w:val="24"/>
                <w:highlight w:val="none"/>
              </w:rPr>
              <w:t>（</w:t>
            </w:r>
            <w:r>
              <w:rPr>
                <w:rFonts w:hint="eastAsia"/>
                <w:sz w:val="24"/>
                <w:szCs w:val="24"/>
                <w:highlight w:val="none"/>
                <w:lang w:val="en-US" w:eastAsia="zh-CN"/>
              </w:rPr>
              <w:t>5</w:t>
            </w:r>
            <w:r>
              <w:rPr>
                <w:rFonts w:hint="eastAsia"/>
                <w:sz w:val="24"/>
                <w:szCs w:val="24"/>
                <w:highlight w:val="none"/>
              </w:rPr>
              <w:t>分）</w:t>
            </w:r>
          </w:p>
        </w:tc>
        <w:tc>
          <w:tcPr>
            <w:tcW w:w="6525" w:type="dxa"/>
            <w:noWrap w:val="0"/>
            <w:vAlign w:val="top"/>
          </w:tcPr>
          <w:p>
            <w:pPr>
              <w:rPr>
                <w:rFonts w:hint="eastAsia"/>
                <w:sz w:val="24"/>
                <w:szCs w:val="24"/>
                <w:highlight w:val="none"/>
              </w:rPr>
            </w:pPr>
            <w:r>
              <w:rPr>
                <w:rFonts w:hint="eastAsia"/>
                <w:sz w:val="24"/>
                <w:szCs w:val="24"/>
                <w:highlight w:val="none"/>
                <w:lang w:val="en-US" w:eastAsia="zh-CN"/>
              </w:rPr>
              <w:t>根</w:t>
            </w:r>
            <w:r>
              <w:rPr>
                <w:rFonts w:hint="eastAsia"/>
                <w:sz w:val="24"/>
                <w:szCs w:val="24"/>
                <w:highlight w:val="none"/>
              </w:rPr>
              <w:t>据《深圳市政府采购投标人诚信管理暂行办法》相关规定，投标人在参与政府采购活动中出现诚信相关问题且在相关主管部门处理措施实施期限内的本项不得分，否则得</w:t>
            </w:r>
            <w:r>
              <w:rPr>
                <w:rFonts w:hint="eastAsia"/>
                <w:sz w:val="24"/>
                <w:szCs w:val="24"/>
                <w:highlight w:val="none"/>
                <w:lang w:val="en-US" w:eastAsia="zh-CN"/>
              </w:rPr>
              <w:t>5</w:t>
            </w:r>
            <w:r>
              <w:rPr>
                <w:rFonts w:hint="eastAsia"/>
                <w:sz w:val="24"/>
                <w:szCs w:val="24"/>
                <w:highlight w:val="none"/>
              </w:rPr>
              <w:t>分。（须提供《诚信承诺函》，按招标文件格式要求提供，不提供不得分。如被认定提供的陈述与事实不符的，依法追究其责任。）</w:t>
            </w:r>
          </w:p>
        </w:tc>
        <w:tc>
          <w:tcPr>
            <w:tcW w:w="977" w:type="dxa"/>
            <w:noWrap w:val="0"/>
            <w:vAlign w:val="top"/>
          </w:tcPr>
          <w:p>
            <w:pPr>
              <w:rPr>
                <w:rFonts w:hint="eastAsia"/>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314" w:type="dxa"/>
            <w:vMerge w:val="continue"/>
            <w:noWrap w:val="0"/>
            <w:vAlign w:val="center"/>
          </w:tcPr>
          <w:p>
            <w:pPr>
              <w:jc w:val="center"/>
              <w:rPr>
                <w:rFonts w:hint="eastAsia"/>
                <w:sz w:val="24"/>
                <w:szCs w:val="24"/>
                <w:highlight w:val="none"/>
              </w:rPr>
            </w:pPr>
          </w:p>
        </w:tc>
        <w:tc>
          <w:tcPr>
            <w:tcW w:w="788" w:type="dxa"/>
            <w:vMerge w:val="continue"/>
            <w:noWrap w:val="0"/>
            <w:vAlign w:val="center"/>
          </w:tcPr>
          <w:p>
            <w:pPr>
              <w:jc w:val="center"/>
              <w:rPr>
                <w:rFonts w:hint="eastAsia"/>
                <w:sz w:val="24"/>
                <w:szCs w:val="24"/>
                <w:highlight w:val="none"/>
              </w:rPr>
            </w:pPr>
          </w:p>
        </w:tc>
        <w:tc>
          <w:tcPr>
            <w:tcW w:w="7815" w:type="dxa"/>
            <w:gridSpan w:val="2"/>
            <w:noWrap w:val="0"/>
            <w:vAlign w:val="center"/>
          </w:tcPr>
          <w:p>
            <w:pPr>
              <w:jc w:val="center"/>
              <w:rPr>
                <w:rFonts w:hint="default" w:eastAsia="仿宋_GB2312"/>
                <w:sz w:val="24"/>
                <w:szCs w:val="24"/>
                <w:highlight w:val="none"/>
                <w:lang w:val="en-US" w:eastAsia="zh-CN"/>
              </w:rPr>
            </w:pPr>
            <w:r>
              <w:rPr>
                <w:rFonts w:hint="eastAsia"/>
                <w:sz w:val="24"/>
                <w:szCs w:val="24"/>
                <w:highlight w:val="none"/>
              </w:rPr>
              <w:t>商务部分得分（C）=C1+C2</w:t>
            </w:r>
            <w:r>
              <w:rPr>
                <w:rFonts w:hint="eastAsia"/>
                <w:sz w:val="24"/>
                <w:szCs w:val="24"/>
                <w:highlight w:val="none"/>
                <w:lang w:val="en-US" w:eastAsia="zh-CN"/>
              </w:rPr>
              <w:t>+C3</w:t>
            </w:r>
          </w:p>
        </w:tc>
        <w:tc>
          <w:tcPr>
            <w:tcW w:w="977" w:type="dxa"/>
            <w:noWrap w:val="0"/>
            <w:vAlign w:val="top"/>
          </w:tcPr>
          <w:p>
            <w:pPr>
              <w:rPr>
                <w:rFonts w:hint="eastAsia"/>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1314" w:type="dxa"/>
            <w:vMerge w:val="restart"/>
            <w:noWrap w:val="0"/>
            <w:vAlign w:val="center"/>
          </w:tcPr>
          <w:p>
            <w:pPr>
              <w:jc w:val="center"/>
              <w:rPr>
                <w:rFonts w:hint="eastAsia"/>
                <w:sz w:val="24"/>
                <w:szCs w:val="24"/>
                <w:highlight w:val="none"/>
              </w:rPr>
            </w:pPr>
            <w:r>
              <w:rPr>
                <w:rFonts w:hint="eastAsia"/>
                <w:sz w:val="24"/>
                <w:szCs w:val="24"/>
                <w:highlight w:val="none"/>
              </w:rPr>
              <w:t>疫情防控</w:t>
            </w:r>
          </w:p>
          <w:p>
            <w:pPr>
              <w:jc w:val="center"/>
              <w:rPr>
                <w:rFonts w:hint="eastAsia"/>
                <w:sz w:val="24"/>
                <w:szCs w:val="24"/>
                <w:highlight w:val="none"/>
              </w:rPr>
            </w:pPr>
            <w:r>
              <w:rPr>
                <w:rFonts w:hint="eastAsia"/>
                <w:sz w:val="24"/>
                <w:szCs w:val="24"/>
                <w:highlight w:val="none"/>
              </w:rPr>
              <w:t>（D）</w:t>
            </w:r>
          </w:p>
        </w:tc>
        <w:tc>
          <w:tcPr>
            <w:tcW w:w="788" w:type="dxa"/>
            <w:vMerge w:val="restart"/>
            <w:noWrap w:val="0"/>
            <w:vAlign w:val="center"/>
          </w:tcPr>
          <w:p>
            <w:pPr>
              <w:jc w:val="center"/>
              <w:rPr>
                <w:rFonts w:hint="eastAsia"/>
                <w:sz w:val="24"/>
                <w:szCs w:val="24"/>
                <w:highlight w:val="none"/>
              </w:rPr>
            </w:pPr>
            <w:r>
              <w:rPr>
                <w:rFonts w:hint="eastAsia"/>
                <w:sz w:val="24"/>
                <w:szCs w:val="24"/>
                <w:highlight w:val="none"/>
              </w:rPr>
              <w:t>5分</w:t>
            </w:r>
          </w:p>
        </w:tc>
        <w:tc>
          <w:tcPr>
            <w:tcW w:w="1290" w:type="dxa"/>
            <w:noWrap w:val="0"/>
            <w:vAlign w:val="center"/>
          </w:tcPr>
          <w:p>
            <w:pPr>
              <w:jc w:val="center"/>
              <w:rPr>
                <w:rFonts w:hint="default"/>
                <w:sz w:val="24"/>
                <w:szCs w:val="24"/>
                <w:highlight w:val="none"/>
                <w:lang w:val="en-US"/>
              </w:rPr>
            </w:pPr>
            <w:r>
              <w:rPr>
                <w:rFonts w:hint="eastAsia"/>
                <w:sz w:val="24"/>
                <w:szCs w:val="24"/>
                <w:highlight w:val="none"/>
                <w:lang w:val="en-US" w:eastAsia="zh-CN"/>
              </w:rPr>
              <w:t>D1、疫情防控企业</w:t>
            </w:r>
          </w:p>
          <w:p>
            <w:pPr>
              <w:jc w:val="center"/>
              <w:rPr>
                <w:rFonts w:hint="eastAsia"/>
                <w:sz w:val="24"/>
                <w:szCs w:val="24"/>
                <w:highlight w:val="none"/>
              </w:rPr>
            </w:pPr>
            <w:r>
              <w:rPr>
                <w:rFonts w:hint="eastAsia"/>
                <w:sz w:val="24"/>
                <w:szCs w:val="24"/>
                <w:highlight w:val="none"/>
              </w:rPr>
              <w:t>（</w:t>
            </w:r>
            <w:r>
              <w:rPr>
                <w:rFonts w:hint="eastAsia"/>
                <w:sz w:val="24"/>
                <w:szCs w:val="24"/>
                <w:highlight w:val="none"/>
                <w:lang w:val="en-US" w:eastAsia="zh-CN"/>
              </w:rPr>
              <w:t>3</w:t>
            </w:r>
            <w:r>
              <w:rPr>
                <w:rFonts w:hint="eastAsia"/>
                <w:sz w:val="24"/>
                <w:szCs w:val="24"/>
                <w:highlight w:val="none"/>
              </w:rPr>
              <w:t>分）</w:t>
            </w:r>
          </w:p>
        </w:tc>
        <w:tc>
          <w:tcPr>
            <w:tcW w:w="6525" w:type="dxa"/>
            <w:noWrap w:val="0"/>
            <w:vAlign w:val="center"/>
          </w:tcPr>
          <w:p>
            <w:pPr>
              <w:jc w:val="both"/>
              <w:rPr>
                <w:rFonts w:hint="eastAsia"/>
                <w:sz w:val="24"/>
                <w:szCs w:val="24"/>
                <w:highlight w:val="none"/>
              </w:rPr>
            </w:pPr>
            <w:r>
              <w:rPr>
                <w:rFonts w:hint="eastAsia"/>
                <w:sz w:val="24"/>
                <w:szCs w:val="24"/>
                <w:highlight w:val="none"/>
              </w:rPr>
              <w:t>疫情防控重点企业此评分项中满分为3分，具体按以下方式评分：纳入全国性名单或地方性名单的疫情防控重点保障企业（以下简称“重点保障企业”），直接参与我市政府采购投标的，提供至少一项自身属于重点保障企业的证明材料（名单查询网页链接、名单网页截图、政府部门出具的文件或者企业享受重点保障企业优惠政策的其他证明文件均可），即可获得评审得分</w:t>
            </w:r>
            <w:r>
              <w:rPr>
                <w:rFonts w:hint="eastAsia"/>
                <w:sz w:val="24"/>
                <w:szCs w:val="24"/>
                <w:highlight w:val="none"/>
                <w:lang w:eastAsia="zh-CN"/>
              </w:rPr>
              <w:t>。</w:t>
            </w:r>
          </w:p>
        </w:tc>
        <w:tc>
          <w:tcPr>
            <w:tcW w:w="977" w:type="dxa"/>
            <w:noWrap w:val="0"/>
            <w:vAlign w:val="top"/>
          </w:tcPr>
          <w:p>
            <w:pPr>
              <w:rPr>
                <w:rFonts w:hint="eastAsia"/>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14" w:type="dxa"/>
            <w:vMerge w:val="continue"/>
            <w:noWrap w:val="0"/>
            <w:vAlign w:val="center"/>
          </w:tcPr>
          <w:p>
            <w:pPr>
              <w:jc w:val="center"/>
              <w:rPr>
                <w:rFonts w:hint="default" w:eastAsia="仿宋_GB2312"/>
                <w:sz w:val="24"/>
                <w:szCs w:val="24"/>
                <w:highlight w:val="none"/>
                <w:lang w:val="en-US" w:eastAsia="zh-CN"/>
              </w:rPr>
            </w:pPr>
          </w:p>
        </w:tc>
        <w:tc>
          <w:tcPr>
            <w:tcW w:w="788" w:type="dxa"/>
            <w:vMerge w:val="continue"/>
            <w:noWrap w:val="0"/>
            <w:vAlign w:val="center"/>
          </w:tcPr>
          <w:p>
            <w:pPr>
              <w:jc w:val="center"/>
            </w:pPr>
          </w:p>
        </w:tc>
        <w:tc>
          <w:tcPr>
            <w:tcW w:w="1290" w:type="dxa"/>
            <w:noWrap w:val="0"/>
            <w:vAlign w:val="center"/>
          </w:tcPr>
          <w:p>
            <w:pPr>
              <w:jc w:val="center"/>
              <w:rPr>
                <w:rFonts w:hint="default" w:eastAsia="仿宋_GB2312"/>
                <w:sz w:val="24"/>
                <w:szCs w:val="24"/>
                <w:highlight w:val="none"/>
                <w:lang w:val="en-US" w:eastAsia="zh-CN"/>
              </w:rPr>
            </w:pPr>
            <w:r>
              <w:rPr>
                <w:rFonts w:hint="eastAsia"/>
                <w:sz w:val="24"/>
                <w:szCs w:val="24"/>
                <w:highlight w:val="none"/>
                <w:lang w:val="en-US" w:eastAsia="zh-CN"/>
              </w:rPr>
              <w:t>D2、稳岗企业</w:t>
            </w:r>
          </w:p>
          <w:p>
            <w:pPr>
              <w:jc w:val="center"/>
            </w:pPr>
            <w:r>
              <w:rPr>
                <w:rFonts w:hint="eastAsia"/>
                <w:sz w:val="24"/>
                <w:szCs w:val="24"/>
                <w:highlight w:val="none"/>
              </w:rPr>
              <w:t>（</w:t>
            </w:r>
            <w:r>
              <w:rPr>
                <w:rFonts w:hint="eastAsia"/>
                <w:sz w:val="24"/>
                <w:szCs w:val="24"/>
                <w:highlight w:val="none"/>
                <w:lang w:val="en-US" w:eastAsia="zh-CN"/>
              </w:rPr>
              <w:t>2</w:t>
            </w:r>
            <w:r>
              <w:rPr>
                <w:rFonts w:hint="eastAsia"/>
                <w:sz w:val="24"/>
                <w:szCs w:val="24"/>
                <w:highlight w:val="none"/>
              </w:rPr>
              <w:t>分）</w:t>
            </w:r>
          </w:p>
        </w:tc>
        <w:tc>
          <w:tcPr>
            <w:tcW w:w="6525" w:type="dxa"/>
            <w:noWrap w:val="0"/>
            <w:vAlign w:val="center"/>
          </w:tcPr>
          <w:p>
            <w:pPr>
              <w:jc w:val="both"/>
            </w:pPr>
            <w:r>
              <w:rPr>
                <w:rFonts w:hint="eastAsia"/>
                <w:sz w:val="24"/>
                <w:szCs w:val="24"/>
                <w:highlight w:val="none"/>
              </w:rPr>
              <w:t>稳岗企业此评分项中满分为2分。具体按以下方式评分：未裁员或裁员率低于20%的企业，即投标前一个月实际参加社会保险（至少包括养老保险）的员工人数（含免缴或延期缴纳社会保险人数）不低于2019年12月同口径人数80%（含）的企业，视为稳岗企业，提供自身符合稳岗企业条件的承诺函即可获得评审得分，同时招标文件中应当注明：投标人提供虚假承诺的，将做无效投标处理，涉嫌存在违法违规行为的，依法报主管部门处理处罚。</w:t>
            </w:r>
          </w:p>
        </w:tc>
        <w:tc>
          <w:tcPr>
            <w:tcW w:w="977" w:type="dxa"/>
            <w:noWrap w:val="0"/>
            <w:vAlign w:val="top"/>
          </w:tcPr>
          <w:p>
            <w:pPr>
              <w:rPr>
                <w:rFonts w:hint="eastAsia"/>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14" w:type="dxa"/>
            <w:vMerge w:val="continue"/>
            <w:noWrap w:val="0"/>
            <w:vAlign w:val="center"/>
          </w:tcPr>
          <w:p>
            <w:pPr>
              <w:jc w:val="center"/>
              <w:rPr>
                <w:rFonts w:hint="default" w:eastAsia="仿宋_GB2312"/>
                <w:sz w:val="24"/>
                <w:szCs w:val="24"/>
                <w:highlight w:val="none"/>
                <w:lang w:val="en-US" w:eastAsia="zh-CN"/>
              </w:rPr>
            </w:pPr>
          </w:p>
        </w:tc>
        <w:tc>
          <w:tcPr>
            <w:tcW w:w="788" w:type="dxa"/>
            <w:vMerge w:val="continue"/>
            <w:noWrap w:val="0"/>
            <w:vAlign w:val="center"/>
          </w:tcPr>
          <w:p>
            <w:pPr>
              <w:jc w:val="center"/>
            </w:pPr>
          </w:p>
        </w:tc>
        <w:tc>
          <w:tcPr>
            <w:tcW w:w="7815" w:type="dxa"/>
            <w:gridSpan w:val="2"/>
            <w:noWrap w:val="0"/>
            <w:vAlign w:val="center"/>
          </w:tcPr>
          <w:p>
            <w:pPr>
              <w:jc w:val="center"/>
              <w:rPr>
                <w:rFonts w:hint="eastAsia"/>
                <w:sz w:val="24"/>
                <w:szCs w:val="24"/>
                <w:highlight w:val="none"/>
              </w:rPr>
            </w:pPr>
            <w:r>
              <w:rPr>
                <w:rFonts w:hint="eastAsia"/>
                <w:sz w:val="24"/>
                <w:szCs w:val="24"/>
                <w:highlight w:val="none"/>
                <w:lang w:val="en-US" w:eastAsia="zh-CN"/>
              </w:rPr>
              <w:t>疫情防控得分（D）=D1+D2</w:t>
            </w:r>
          </w:p>
        </w:tc>
        <w:tc>
          <w:tcPr>
            <w:tcW w:w="977" w:type="dxa"/>
            <w:noWrap w:val="0"/>
            <w:vAlign w:val="top"/>
          </w:tcPr>
          <w:p>
            <w:pPr>
              <w:rPr>
                <w:rFonts w:hint="eastAsia"/>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917" w:type="dxa"/>
            <w:gridSpan w:val="4"/>
            <w:noWrap w:val="0"/>
            <w:vAlign w:val="center"/>
          </w:tcPr>
          <w:p>
            <w:pPr>
              <w:jc w:val="center"/>
              <w:rPr>
                <w:rFonts w:hint="eastAsia"/>
                <w:sz w:val="24"/>
                <w:szCs w:val="24"/>
                <w:highlight w:val="none"/>
              </w:rPr>
            </w:pPr>
            <w:r>
              <w:rPr>
                <w:rFonts w:hint="eastAsia"/>
                <w:sz w:val="24"/>
                <w:szCs w:val="24"/>
                <w:highlight w:val="none"/>
              </w:rPr>
              <w:t>评标总得分 Z = A + B + C</w:t>
            </w:r>
            <w:r>
              <w:rPr>
                <w:rFonts w:hint="eastAsia"/>
                <w:sz w:val="24"/>
                <w:szCs w:val="24"/>
                <w:highlight w:val="none"/>
                <w:lang w:val="en-US" w:eastAsia="zh-CN"/>
              </w:rPr>
              <w:t>+D</w:t>
            </w:r>
          </w:p>
        </w:tc>
        <w:tc>
          <w:tcPr>
            <w:tcW w:w="977" w:type="dxa"/>
            <w:noWrap w:val="0"/>
            <w:vAlign w:val="center"/>
          </w:tcPr>
          <w:p>
            <w:pPr>
              <w:rPr>
                <w:rFonts w:hint="eastAsia"/>
                <w:sz w:val="30"/>
                <w:szCs w:val="30"/>
                <w:highlight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186DE7"/>
    <w:rsid w:val="63186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before="100" w:beforeAutospacing="1"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2020-11-26T10:21:00Z</dcterms:created>
  <dc:creator>Darcya</dc:creator>
  <cp:lastModifiedBy>Darcya</cp:lastModifiedBy>
  <dcterms:modified xsi:type="dcterms:W3CDTF">2020-11-26T10:22:29Z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