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beforeAutospacing="0" w:line="560" w:lineRule="exact"/>
        <w:ind w:right="0"/>
        <w:textAlignment w:val="auto"/>
        <w:rPr>
          <w:rFonts w:hint="eastAsia" w:ascii="Times New Roman" w:hAnsi="Times New Roman" w:eastAsia="黑体" w:cs="Times New Roman"/>
          <w:szCs w:val="32"/>
          <w:lang w:val="en-US" w:eastAsia="zh-CN" w:bidi="ar"/>
        </w:rPr>
      </w:pPr>
      <w:r>
        <w:rPr>
          <w:rFonts w:hint="default" w:ascii="Times New Roman" w:hAnsi="Times New Roman" w:eastAsia="黑体" w:cs="Times New Roman"/>
          <w:szCs w:val="32"/>
          <w:lang w:val="en-US" w:eastAsia="zh-CN" w:bidi="ar"/>
        </w:rPr>
        <w:t>附</w:t>
      </w:r>
      <w:r>
        <w:rPr>
          <w:rFonts w:hint="default" w:ascii="Times New Roman" w:hAnsi="Times New Roman" w:eastAsia="黑体" w:cs="Times New Roman"/>
          <w:szCs w:val="32"/>
          <w:lang w:bidi="ar"/>
        </w:rPr>
        <w:t>件</w:t>
      </w:r>
      <w:r>
        <w:rPr>
          <w:rFonts w:hint="eastAsia" w:eastAsia="黑体" w:cs="Times New Roman"/>
          <w:szCs w:val="32"/>
          <w:lang w:val="en-US" w:eastAsia="zh-CN" w:bidi="ar"/>
        </w:rPr>
        <w:t>1</w:t>
      </w:r>
      <w:bookmarkStart w:id="0" w:name="_GoBack"/>
      <w:bookmarkEnd w:id="0"/>
    </w:p>
    <w:p>
      <w:pPr>
        <w:overflowPunct w:val="0"/>
        <w:autoSpaceDE w:val="0"/>
        <w:autoSpaceDN w:val="0"/>
        <w:spacing w:line="560" w:lineRule="exact"/>
        <w:jc w:val="center"/>
        <w:rPr>
          <w:rFonts w:hint="default" w:ascii="Times New Roman" w:hAnsi="Times New Roman" w:eastAsia="方正小标宋_GBK" w:cs="Times New Roman"/>
          <w:sz w:val="44"/>
          <w:szCs w:val="44"/>
        </w:rPr>
      </w:pPr>
      <w:r>
        <w:rPr>
          <w:rFonts w:hint="eastAsia" w:ascii="方正小标宋简体" w:hAnsi="方正小标宋简体" w:eastAsia="方正小标宋简体" w:cs="方正小标宋简体"/>
          <w:sz w:val="44"/>
          <w:szCs w:val="44"/>
          <w:lang w:eastAsia="zh-CN"/>
        </w:rPr>
        <w:t>深圳市退役军人</w:t>
      </w:r>
      <w:r>
        <w:rPr>
          <w:rFonts w:hint="eastAsia" w:ascii="方正小标宋简体" w:hAnsi="方正小标宋简体" w:eastAsia="方正小标宋简体" w:cs="方正小标宋简体"/>
          <w:sz w:val="44"/>
          <w:szCs w:val="44"/>
        </w:rPr>
        <w:t>服</w:t>
      </w:r>
      <w:r>
        <w:rPr>
          <w:rFonts w:hint="eastAsia" w:ascii="方正小标宋简体" w:hAnsi="方正小标宋简体" w:eastAsia="方正小标宋简体" w:cs="方正小标宋简体"/>
          <w:sz w:val="44"/>
          <w:szCs w:val="44"/>
          <w:lang w:eastAsia="zh-CN"/>
        </w:rPr>
        <w:t>务保障体系建设</w:t>
      </w:r>
      <w:r>
        <w:rPr>
          <w:rFonts w:hint="eastAsia" w:ascii="方正小标宋简体" w:hAnsi="方正小标宋简体" w:eastAsia="方正小标宋简体" w:cs="方正小标宋简体"/>
          <w:sz w:val="44"/>
          <w:szCs w:val="44"/>
          <w:lang w:val="en-US" w:eastAsia="zh-CN"/>
        </w:rPr>
        <w:t>2020年度资料汇编</w:t>
      </w:r>
      <w:r>
        <w:rPr>
          <w:rFonts w:hint="eastAsia" w:ascii="方正小标宋简体" w:hAnsi="方正小标宋简体" w:eastAsia="方正小标宋简体" w:cs="方正小标宋简体"/>
          <w:sz w:val="44"/>
          <w:szCs w:val="44"/>
          <w:lang w:eastAsia="zh-CN"/>
        </w:rPr>
        <w:t>设计印制</w:t>
      </w:r>
      <w:r>
        <w:rPr>
          <w:rFonts w:hint="eastAsia" w:ascii="方正小标宋简体" w:hAnsi="方正小标宋简体" w:eastAsia="方正小标宋简体" w:cs="方正小标宋简体"/>
          <w:sz w:val="44"/>
          <w:szCs w:val="44"/>
        </w:rPr>
        <w:t>项目</w:t>
      </w:r>
      <w:r>
        <w:rPr>
          <w:rFonts w:hint="default" w:ascii="Times New Roman" w:hAnsi="Times New Roman" w:eastAsia="方正小标宋_GBK" w:cs="Times New Roman"/>
          <w:sz w:val="44"/>
          <w:szCs w:val="44"/>
        </w:rPr>
        <w:t>综合评分表</w:t>
      </w:r>
    </w:p>
    <w:tbl>
      <w:tblPr>
        <w:tblStyle w:val="6"/>
        <w:tblW w:w="1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88"/>
        <w:gridCol w:w="1290"/>
        <w:gridCol w:w="652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blHeader/>
          <w:jc w:val="center"/>
        </w:trPr>
        <w:tc>
          <w:tcPr>
            <w:tcW w:w="1314" w:type="dxa"/>
            <w:noWrap w:val="0"/>
            <w:vAlign w:val="center"/>
          </w:tcPr>
          <w:p>
            <w:pPr>
              <w:jc w:val="center"/>
              <w:rPr>
                <w:rFonts w:hint="eastAsia"/>
                <w:b/>
                <w:bCs/>
                <w:sz w:val="24"/>
                <w:szCs w:val="24"/>
                <w:highlight w:val="none"/>
              </w:rPr>
            </w:pPr>
            <w:r>
              <w:rPr>
                <w:rFonts w:hint="eastAsia"/>
                <w:b/>
                <w:bCs/>
                <w:sz w:val="24"/>
                <w:szCs w:val="24"/>
                <w:highlight w:val="none"/>
              </w:rPr>
              <w:t>评分因素</w:t>
            </w:r>
          </w:p>
        </w:tc>
        <w:tc>
          <w:tcPr>
            <w:tcW w:w="788" w:type="dxa"/>
            <w:noWrap w:val="0"/>
            <w:vAlign w:val="center"/>
          </w:tcPr>
          <w:p>
            <w:pPr>
              <w:jc w:val="center"/>
              <w:rPr>
                <w:rFonts w:hint="eastAsia"/>
                <w:b/>
                <w:bCs/>
                <w:sz w:val="24"/>
                <w:szCs w:val="24"/>
                <w:highlight w:val="none"/>
              </w:rPr>
            </w:pPr>
            <w:r>
              <w:rPr>
                <w:rFonts w:hint="eastAsia"/>
                <w:b/>
                <w:bCs/>
                <w:sz w:val="24"/>
                <w:szCs w:val="24"/>
                <w:highlight w:val="none"/>
              </w:rPr>
              <w:t>分值</w:t>
            </w:r>
          </w:p>
        </w:tc>
        <w:tc>
          <w:tcPr>
            <w:tcW w:w="1290" w:type="dxa"/>
            <w:noWrap w:val="0"/>
            <w:vAlign w:val="center"/>
          </w:tcPr>
          <w:p>
            <w:pPr>
              <w:jc w:val="center"/>
              <w:rPr>
                <w:rFonts w:hint="eastAsia"/>
                <w:b/>
                <w:bCs/>
                <w:sz w:val="24"/>
                <w:szCs w:val="24"/>
                <w:highlight w:val="none"/>
              </w:rPr>
            </w:pPr>
            <w:r>
              <w:rPr>
                <w:rFonts w:hint="eastAsia"/>
                <w:b/>
                <w:bCs/>
                <w:sz w:val="24"/>
                <w:szCs w:val="24"/>
                <w:highlight w:val="none"/>
              </w:rPr>
              <w:t>评分内容</w:t>
            </w:r>
          </w:p>
        </w:tc>
        <w:tc>
          <w:tcPr>
            <w:tcW w:w="6525" w:type="dxa"/>
            <w:noWrap w:val="0"/>
            <w:vAlign w:val="center"/>
          </w:tcPr>
          <w:p>
            <w:pPr>
              <w:jc w:val="center"/>
              <w:rPr>
                <w:rFonts w:hint="eastAsia"/>
                <w:b/>
                <w:bCs/>
                <w:sz w:val="24"/>
                <w:szCs w:val="24"/>
                <w:highlight w:val="none"/>
              </w:rPr>
            </w:pPr>
            <w:r>
              <w:rPr>
                <w:rFonts w:hint="eastAsia"/>
                <w:b/>
                <w:bCs/>
                <w:sz w:val="24"/>
                <w:szCs w:val="24"/>
                <w:highlight w:val="none"/>
              </w:rPr>
              <w:t>评  分  标  准</w:t>
            </w:r>
          </w:p>
        </w:tc>
        <w:tc>
          <w:tcPr>
            <w:tcW w:w="977" w:type="dxa"/>
            <w:noWrap w:val="0"/>
            <w:vAlign w:val="center"/>
          </w:tcPr>
          <w:p>
            <w:pPr>
              <w:jc w:val="center"/>
              <w:rPr>
                <w:rFonts w:hint="eastAsia"/>
                <w:b/>
                <w:bCs/>
                <w:szCs w:val="32"/>
                <w:highlight w:val="none"/>
              </w:rPr>
            </w:pPr>
            <w:r>
              <w:rPr>
                <w:rFonts w:hint="eastAsia"/>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314" w:type="dxa"/>
            <w:noWrap w:val="0"/>
            <w:vAlign w:val="center"/>
          </w:tcPr>
          <w:p>
            <w:pPr>
              <w:jc w:val="center"/>
              <w:rPr>
                <w:rFonts w:hint="eastAsia"/>
                <w:sz w:val="24"/>
                <w:szCs w:val="24"/>
                <w:highlight w:val="none"/>
              </w:rPr>
            </w:pPr>
            <w:r>
              <w:rPr>
                <w:rFonts w:hint="eastAsia"/>
                <w:sz w:val="24"/>
                <w:szCs w:val="24"/>
                <w:highlight w:val="none"/>
              </w:rPr>
              <w:t>报价</w:t>
            </w:r>
          </w:p>
          <w:p>
            <w:pPr>
              <w:jc w:val="center"/>
              <w:rPr>
                <w:rFonts w:hint="eastAsia"/>
                <w:sz w:val="24"/>
                <w:szCs w:val="24"/>
                <w:highlight w:val="none"/>
              </w:rPr>
            </w:pPr>
            <w:r>
              <w:rPr>
                <w:rFonts w:hint="eastAsia"/>
                <w:sz w:val="24"/>
                <w:szCs w:val="24"/>
                <w:highlight w:val="none"/>
              </w:rPr>
              <w:t>部分</w:t>
            </w:r>
          </w:p>
          <w:p>
            <w:pPr>
              <w:jc w:val="center"/>
              <w:rPr>
                <w:rFonts w:hint="eastAsia"/>
                <w:sz w:val="24"/>
                <w:szCs w:val="24"/>
                <w:highlight w:val="none"/>
              </w:rPr>
            </w:pPr>
            <w:r>
              <w:rPr>
                <w:rFonts w:hint="eastAsia"/>
                <w:sz w:val="24"/>
                <w:szCs w:val="24"/>
                <w:highlight w:val="none"/>
              </w:rPr>
              <w:t>（A）</w:t>
            </w:r>
          </w:p>
        </w:tc>
        <w:tc>
          <w:tcPr>
            <w:tcW w:w="788" w:type="dxa"/>
            <w:noWrap w:val="0"/>
            <w:vAlign w:val="center"/>
          </w:tcPr>
          <w:p>
            <w:pPr>
              <w:jc w:val="center"/>
              <w:rPr>
                <w:rFonts w:hint="eastAsia"/>
                <w:sz w:val="24"/>
                <w:szCs w:val="24"/>
                <w:highlight w:val="none"/>
              </w:rPr>
            </w:pPr>
            <w:r>
              <w:rPr>
                <w:rFonts w:hint="eastAsia"/>
                <w:sz w:val="24"/>
                <w:szCs w:val="24"/>
                <w:highlight w:val="none"/>
                <w:lang w:val="en-US" w:eastAsia="zh-CN"/>
              </w:rPr>
              <w:t>20</w:t>
            </w:r>
            <w:r>
              <w:rPr>
                <w:rFonts w:hint="eastAsia"/>
                <w:sz w:val="24"/>
                <w:szCs w:val="24"/>
                <w:highlight w:val="none"/>
              </w:rPr>
              <w:t>分</w:t>
            </w:r>
          </w:p>
        </w:tc>
        <w:tc>
          <w:tcPr>
            <w:tcW w:w="1290" w:type="dxa"/>
            <w:noWrap w:val="0"/>
            <w:vAlign w:val="center"/>
          </w:tcPr>
          <w:p>
            <w:pPr>
              <w:jc w:val="center"/>
              <w:rPr>
                <w:rFonts w:hint="eastAsia"/>
                <w:sz w:val="24"/>
                <w:szCs w:val="24"/>
                <w:highlight w:val="none"/>
              </w:rPr>
            </w:pPr>
            <w:r>
              <w:rPr>
                <w:rFonts w:hint="eastAsia"/>
                <w:sz w:val="24"/>
                <w:szCs w:val="24"/>
                <w:highlight w:val="none"/>
              </w:rPr>
              <w:t>报价</w:t>
            </w:r>
          </w:p>
          <w:p>
            <w:pPr>
              <w:jc w:val="center"/>
              <w:rPr>
                <w:rFonts w:hint="eastAsia"/>
                <w:sz w:val="24"/>
                <w:szCs w:val="24"/>
                <w:highlight w:val="none"/>
              </w:rPr>
            </w:pPr>
            <w:r>
              <w:rPr>
                <w:rFonts w:hint="eastAsia"/>
                <w:sz w:val="24"/>
                <w:szCs w:val="24"/>
                <w:highlight w:val="none"/>
              </w:rPr>
              <w:t>得分</w:t>
            </w:r>
          </w:p>
          <w:p>
            <w:pPr>
              <w:jc w:val="center"/>
              <w:rPr>
                <w:rFonts w:hint="eastAsia"/>
                <w:sz w:val="24"/>
                <w:szCs w:val="24"/>
                <w:highlight w:val="none"/>
              </w:rPr>
            </w:pPr>
            <w:r>
              <w:rPr>
                <w:rFonts w:hint="eastAsia"/>
                <w:sz w:val="24"/>
                <w:szCs w:val="24"/>
                <w:highlight w:val="none"/>
              </w:rPr>
              <w:t>（</w:t>
            </w:r>
            <w:r>
              <w:rPr>
                <w:rFonts w:hint="eastAsia"/>
                <w:sz w:val="24"/>
                <w:szCs w:val="24"/>
                <w:highlight w:val="none"/>
                <w:lang w:val="en-US" w:eastAsia="zh-CN"/>
              </w:rPr>
              <w:t>20</w:t>
            </w:r>
            <w:r>
              <w:rPr>
                <w:rFonts w:hint="eastAsia"/>
                <w:sz w:val="24"/>
                <w:szCs w:val="24"/>
                <w:highlight w:val="none"/>
              </w:rPr>
              <w:t>分）</w:t>
            </w:r>
          </w:p>
        </w:tc>
        <w:tc>
          <w:tcPr>
            <w:tcW w:w="6525" w:type="dxa"/>
            <w:noWrap w:val="0"/>
            <w:vAlign w:val="top"/>
          </w:tcPr>
          <w:p>
            <w:pPr>
              <w:jc w:val="left"/>
              <w:rPr>
                <w:rFonts w:hint="eastAsia"/>
                <w:sz w:val="24"/>
                <w:szCs w:val="24"/>
                <w:highlight w:val="none"/>
              </w:rPr>
            </w:pPr>
            <w:r>
              <w:rPr>
                <w:rFonts w:hint="eastAsia"/>
                <w:sz w:val="24"/>
                <w:szCs w:val="24"/>
                <w:highlight w:val="none"/>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sz w:val="24"/>
                <w:szCs w:val="24"/>
                <w:highlight w:val="none"/>
                <w:lang w:val="en-US" w:eastAsia="zh-CN"/>
              </w:rPr>
              <w:t>20</w:t>
            </w:r>
            <w:r>
              <w:rPr>
                <w:rFonts w:hint="eastAsia"/>
                <w:sz w:val="24"/>
                <w:szCs w:val="24"/>
                <w:highlight w:val="none"/>
              </w:rPr>
              <w:t>。</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314" w:type="dxa"/>
            <w:vMerge w:val="restart"/>
            <w:noWrap w:val="0"/>
            <w:vAlign w:val="center"/>
          </w:tcPr>
          <w:p>
            <w:pPr>
              <w:jc w:val="center"/>
              <w:rPr>
                <w:rFonts w:hint="eastAsia"/>
                <w:sz w:val="24"/>
                <w:szCs w:val="24"/>
                <w:highlight w:val="none"/>
              </w:rPr>
            </w:pPr>
            <w:r>
              <w:rPr>
                <w:rFonts w:hint="eastAsia"/>
                <w:sz w:val="24"/>
                <w:szCs w:val="24"/>
                <w:highlight w:val="none"/>
              </w:rPr>
              <w:t>技术部分</w:t>
            </w:r>
          </w:p>
          <w:p>
            <w:pPr>
              <w:jc w:val="center"/>
              <w:rPr>
                <w:rFonts w:hint="eastAsia"/>
                <w:sz w:val="24"/>
                <w:szCs w:val="24"/>
                <w:highlight w:val="none"/>
              </w:rPr>
            </w:pPr>
            <w:r>
              <w:rPr>
                <w:rFonts w:hint="eastAsia"/>
                <w:sz w:val="24"/>
                <w:szCs w:val="24"/>
                <w:highlight w:val="none"/>
              </w:rPr>
              <w:t>（B）</w:t>
            </w:r>
          </w:p>
        </w:tc>
        <w:tc>
          <w:tcPr>
            <w:tcW w:w="788" w:type="dxa"/>
            <w:vMerge w:val="restart"/>
            <w:noWrap w:val="0"/>
            <w:vAlign w:val="center"/>
          </w:tcPr>
          <w:p>
            <w:pPr>
              <w:jc w:val="center"/>
              <w:rPr>
                <w:rFonts w:hint="eastAsia"/>
                <w:sz w:val="24"/>
                <w:szCs w:val="24"/>
                <w:highlight w:val="none"/>
              </w:rPr>
            </w:pPr>
            <w:r>
              <w:rPr>
                <w:rFonts w:hint="eastAsia"/>
                <w:sz w:val="24"/>
                <w:szCs w:val="24"/>
                <w:highlight w:val="none"/>
                <w:lang w:val="en-US" w:eastAsia="zh-CN"/>
              </w:rPr>
              <w:t>50</w:t>
            </w:r>
            <w:r>
              <w:rPr>
                <w:rFonts w:hint="eastAsia"/>
                <w:sz w:val="24"/>
                <w:szCs w:val="24"/>
                <w:highlight w:val="none"/>
              </w:rPr>
              <w:t>分</w:t>
            </w:r>
          </w:p>
        </w:tc>
        <w:tc>
          <w:tcPr>
            <w:tcW w:w="1290" w:type="dxa"/>
            <w:noWrap w:val="0"/>
            <w:vAlign w:val="center"/>
          </w:tcPr>
          <w:p>
            <w:pPr>
              <w:jc w:val="center"/>
              <w:rPr>
                <w:rFonts w:hint="eastAsia"/>
                <w:sz w:val="24"/>
                <w:szCs w:val="24"/>
                <w:highlight w:val="none"/>
              </w:rPr>
            </w:pPr>
            <w:r>
              <w:rPr>
                <w:rFonts w:hint="eastAsia"/>
                <w:sz w:val="24"/>
                <w:szCs w:val="24"/>
                <w:highlight w:val="none"/>
              </w:rPr>
              <w:t>B1、项目方案得分（</w:t>
            </w:r>
            <w:r>
              <w:rPr>
                <w:rFonts w:hint="eastAsia"/>
                <w:sz w:val="24"/>
                <w:szCs w:val="24"/>
                <w:highlight w:val="none"/>
                <w:lang w:val="en-US" w:eastAsia="zh-CN"/>
              </w:rPr>
              <w:t>35</w:t>
            </w:r>
            <w:r>
              <w:rPr>
                <w:rFonts w:hint="eastAsia"/>
                <w:sz w:val="24"/>
                <w:szCs w:val="24"/>
                <w:highlight w:val="none"/>
              </w:rPr>
              <w:t>分）</w:t>
            </w:r>
          </w:p>
        </w:tc>
        <w:tc>
          <w:tcPr>
            <w:tcW w:w="6525" w:type="dxa"/>
            <w:noWrap w:val="0"/>
            <w:vAlign w:val="top"/>
          </w:tcPr>
          <w:p>
            <w:pPr>
              <w:rPr>
                <w:rFonts w:hint="eastAsia"/>
                <w:sz w:val="24"/>
                <w:szCs w:val="24"/>
                <w:highlight w:val="none"/>
              </w:rPr>
            </w:pPr>
            <w:r>
              <w:rPr>
                <w:rFonts w:hint="eastAsia"/>
                <w:sz w:val="24"/>
                <w:szCs w:val="24"/>
                <w:highlight w:val="none"/>
              </w:rPr>
              <w:t>针对该项目所制定的方案需包括</w:t>
            </w:r>
            <w:r>
              <w:rPr>
                <w:rFonts w:hint="eastAsia" w:ascii="仿宋_GB2312" w:hAnsi="仿宋_GB2312" w:cs="仿宋_GB2312"/>
                <w:sz w:val="24"/>
                <w:szCs w:val="24"/>
                <w:highlight w:val="none"/>
              </w:rPr>
              <w:t>实施规划、保障措施</w:t>
            </w:r>
            <w:r>
              <w:rPr>
                <w:rFonts w:hint="eastAsia"/>
                <w:sz w:val="24"/>
                <w:szCs w:val="24"/>
                <w:highlight w:val="none"/>
              </w:rPr>
              <w:t>。按照投标文件响应情况进行横向比较，分档评分：评价为优得</w:t>
            </w:r>
            <w:r>
              <w:rPr>
                <w:rFonts w:hint="eastAsia"/>
                <w:sz w:val="24"/>
                <w:szCs w:val="24"/>
                <w:highlight w:val="none"/>
                <w:lang w:val="en-US" w:eastAsia="zh-CN"/>
              </w:rPr>
              <w:t>35</w:t>
            </w:r>
            <w:r>
              <w:rPr>
                <w:rFonts w:hint="eastAsia"/>
                <w:sz w:val="24"/>
                <w:szCs w:val="24"/>
                <w:highlight w:val="none"/>
              </w:rPr>
              <w:t>分；评价为良得</w:t>
            </w:r>
            <w:r>
              <w:rPr>
                <w:rFonts w:hint="eastAsia"/>
                <w:sz w:val="24"/>
                <w:szCs w:val="24"/>
                <w:highlight w:val="none"/>
                <w:lang w:val="en-US" w:eastAsia="zh-CN"/>
              </w:rPr>
              <w:t>25</w:t>
            </w:r>
            <w:r>
              <w:rPr>
                <w:rFonts w:hint="eastAsia"/>
                <w:sz w:val="24"/>
                <w:szCs w:val="24"/>
                <w:highlight w:val="none"/>
              </w:rPr>
              <w:t>分；评价为中得</w:t>
            </w:r>
            <w:r>
              <w:rPr>
                <w:rFonts w:hint="eastAsia"/>
                <w:sz w:val="24"/>
                <w:szCs w:val="24"/>
                <w:highlight w:val="none"/>
                <w:lang w:val="en-US" w:eastAsia="zh-CN"/>
              </w:rPr>
              <w:t>15</w:t>
            </w:r>
            <w:r>
              <w:rPr>
                <w:rFonts w:hint="eastAsia"/>
                <w:sz w:val="24"/>
                <w:szCs w:val="24"/>
                <w:highlight w:val="none"/>
              </w:rPr>
              <w:t>分；评价为差得0分。</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1290" w:type="dxa"/>
            <w:noWrap w:val="0"/>
            <w:vAlign w:val="center"/>
          </w:tcPr>
          <w:p>
            <w:pPr>
              <w:jc w:val="center"/>
              <w:rPr>
                <w:rFonts w:hint="eastAsia"/>
                <w:sz w:val="24"/>
                <w:szCs w:val="24"/>
                <w:highlight w:val="none"/>
              </w:rPr>
            </w:pPr>
            <w:r>
              <w:rPr>
                <w:rFonts w:hint="eastAsia"/>
                <w:sz w:val="24"/>
                <w:szCs w:val="24"/>
                <w:highlight w:val="none"/>
              </w:rPr>
              <w:t>B2、同类项目经验（</w:t>
            </w:r>
            <w:r>
              <w:rPr>
                <w:rFonts w:hint="eastAsia"/>
                <w:sz w:val="24"/>
                <w:szCs w:val="24"/>
                <w:highlight w:val="none"/>
                <w:lang w:val="en-US" w:eastAsia="zh-CN"/>
              </w:rPr>
              <w:t>15</w:t>
            </w:r>
            <w:r>
              <w:rPr>
                <w:rFonts w:hint="eastAsia"/>
                <w:sz w:val="24"/>
                <w:szCs w:val="24"/>
                <w:highlight w:val="none"/>
              </w:rPr>
              <w:t>分）</w:t>
            </w:r>
          </w:p>
        </w:tc>
        <w:tc>
          <w:tcPr>
            <w:tcW w:w="6525" w:type="dxa"/>
            <w:noWrap w:val="0"/>
            <w:vAlign w:val="top"/>
          </w:tcPr>
          <w:p>
            <w:pPr>
              <w:rPr>
                <w:rFonts w:hint="eastAsia" w:eastAsia="仿宋_GB2312"/>
                <w:sz w:val="24"/>
                <w:szCs w:val="24"/>
                <w:highlight w:val="none"/>
                <w:lang w:eastAsia="zh-CN"/>
              </w:rPr>
            </w:pPr>
            <w:r>
              <w:rPr>
                <w:rFonts w:hint="eastAsia"/>
                <w:sz w:val="24"/>
                <w:szCs w:val="24"/>
                <w:highlight w:val="none"/>
              </w:rPr>
              <w:t>投标人近</w:t>
            </w:r>
            <w:r>
              <w:rPr>
                <w:rFonts w:hint="eastAsia"/>
                <w:sz w:val="24"/>
                <w:szCs w:val="24"/>
                <w:highlight w:val="none"/>
                <w:lang w:val="en-US" w:eastAsia="zh-CN"/>
              </w:rPr>
              <w:t>5</w:t>
            </w:r>
            <w:r>
              <w:rPr>
                <w:rFonts w:hint="eastAsia"/>
                <w:sz w:val="24"/>
                <w:szCs w:val="24"/>
                <w:highlight w:val="none"/>
              </w:rPr>
              <w:t>年承接的政府</w:t>
            </w:r>
            <w:r>
              <w:rPr>
                <w:rFonts w:hint="eastAsia"/>
                <w:sz w:val="24"/>
                <w:szCs w:val="24"/>
                <w:highlight w:val="none"/>
                <w:lang w:eastAsia="zh-CN"/>
              </w:rPr>
              <w:t>或企业</w:t>
            </w:r>
            <w:r>
              <w:rPr>
                <w:rFonts w:hint="eastAsia"/>
                <w:sz w:val="24"/>
                <w:szCs w:val="24"/>
                <w:highlight w:val="none"/>
              </w:rPr>
              <w:t>相关项目成功案例</w:t>
            </w:r>
            <w:r>
              <w:rPr>
                <w:rFonts w:hint="eastAsia"/>
                <w:sz w:val="24"/>
                <w:szCs w:val="24"/>
                <w:highlight w:val="none"/>
                <w:lang w:eastAsia="zh-CN"/>
              </w:rPr>
              <w:t>，</w:t>
            </w:r>
            <w:r>
              <w:rPr>
                <w:rFonts w:hint="eastAsia"/>
                <w:sz w:val="24"/>
                <w:szCs w:val="24"/>
                <w:highlight w:val="none"/>
              </w:rPr>
              <w:t>每</w:t>
            </w:r>
            <w:r>
              <w:rPr>
                <w:rFonts w:hint="eastAsia"/>
                <w:sz w:val="24"/>
                <w:szCs w:val="24"/>
                <w:highlight w:val="none"/>
                <w:lang w:eastAsia="zh-CN"/>
              </w:rPr>
              <w:t>提供</w:t>
            </w:r>
            <w:r>
              <w:rPr>
                <w:rFonts w:hint="eastAsia"/>
                <w:sz w:val="24"/>
                <w:szCs w:val="24"/>
                <w:highlight w:val="none"/>
              </w:rPr>
              <w:t>一个</w:t>
            </w:r>
            <w:r>
              <w:rPr>
                <w:rFonts w:hint="eastAsia"/>
                <w:sz w:val="24"/>
                <w:szCs w:val="24"/>
                <w:highlight w:val="none"/>
                <w:lang w:eastAsia="zh-CN"/>
              </w:rPr>
              <w:t>得</w:t>
            </w:r>
            <w:r>
              <w:rPr>
                <w:rFonts w:hint="eastAsia"/>
                <w:sz w:val="24"/>
                <w:szCs w:val="24"/>
                <w:highlight w:val="none"/>
                <w:lang w:val="en-US" w:eastAsia="zh-CN"/>
              </w:rPr>
              <w:t>3</w:t>
            </w:r>
            <w:r>
              <w:rPr>
                <w:rFonts w:hint="eastAsia"/>
                <w:sz w:val="24"/>
                <w:szCs w:val="24"/>
                <w:highlight w:val="none"/>
              </w:rPr>
              <w:t>分（共</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得分至标准分为止（5万元以上，提供案例合同复印件，否则不得分</w:t>
            </w:r>
            <w:r>
              <w:rPr>
                <w:rFonts w:hint="eastAsia"/>
                <w:sz w:val="24"/>
                <w:szCs w:val="24"/>
                <w:highlight w:val="none"/>
                <w:lang w:eastAsia="zh-CN"/>
              </w:rPr>
              <w:t>）。</w:t>
            </w:r>
          </w:p>
          <w:p>
            <w:pPr>
              <w:rPr>
                <w:rFonts w:hint="eastAsia"/>
                <w:sz w:val="24"/>
                <w:szCs w:val="24"/>
                <w:highlight w:val="none"/>
              </w:rPr>
            </w:pPr>
            <w:r>
              <w:rPr>
                <w:rFonts w:hint="eastAsia"/>
                <w:sz w:val="24"/>
                <w:szCs w:val="24"/>
                <w:highlight w:val="none"/>
              </w:rPr>
              <w:t>注：涉及的项目经验指近5年（20</w:t>
            </w:r>
            <w:r>
              <w:rPr>
                <w:sz w:val="24"/>
                <w:szCs w:val="24"/>
                <w:highlight w:val="none"/>
              </w:rPr>
              <w:t>1</w:t>
            </w:r>
            <w:r>
              <w:rPr>
                <w:rFonts w:hint="eastAsia"/>
                <w:sz w:val="24"/>
                <w:szCs w:val="24"/>
                <w:highlight w:val="none"/>
                <w:lang w:val="en-US" w:eastAsia="zh-CN"/>
              </w:rPr>
              <w:t>6</w:t>
            </w:r>
            <w:r>
              <w:rPr>
                <w:rFonts w:hint="eastAsia"/>
                <w:sz w:val="24"/>
                <w:szCs w:val="24"/>
                <w:highlight w:val="none"/>
              </w:rPr>
              <w:t>年1月1日后，以合同签订日期为准）的项目。</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14" w:type="dxa"/>
            <w:vMerge w:val="continue"/>
            <w:noWrap w:val="0"/>
            <w:vAlign w:val="center"/>
          </w:tcPr>
          <w:p>
            <w:pPr>
              <w:rPr>
                <w:rFonts w:hint="eastAsia"/>
                <w:sz w:val="24"/>
                <w:szCs w:val="24"/>
                <w:highlight w:val="none"/>
              </w:rPr>
            </w:pPr>
          </w:p>
        </w:tc>
        <w:tc>
          <w:tcPr>
            <w:tcW w:w="8603" w:type="dxa"/>
            <w:gridSpan w:val="3"/>
            <w:noWrap w:val="0"/>
            <w:vAlign w:val="top"/>
          </w:tcPr>
          <w:p>
            <w:pPr>
              <w:jc w:val="center"/>
              <w:rPr>
                <w:rFonts w:hint="eastAsia"/>
                <w:highlight w:val="none"/>
              </w:rPr>
            </w:pPr>
            <w:r>
              <w:rPr>
                <w:rFonts w:hint="eastAsia"/>
                <w:sz w:val="24"/>
                <w:szCs w:val="24"/>
                <w:highlight w:val="none"/>
              </w:rPr>
              <w:t>技术部分得分（B）=B1+B2</w:t>
            </w:r>
          </w:p>
        </w:tc>
        <w:tc>
          <w:tcPr>
            <w:tcW w:w="977" w:type="dxa"/>
            <w:noWrap w:val="0"/>
            <w:vAlign w:val="top"/>
          </w:tcPr>
          <w:p>
            <w:pPr>
              <w:jc w:val="center"/>
              <w:rPr>
                <w:rFonts w:hint="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314" w:type="dxa"/>
            <w:vMerge w:val="restart"/>
            <w:noWrap w:val="0"/>
            <w:vAlign w:val="center"/>
          </w:tcPr>
          <w:p>
            <w:pPr>
              <w:jc w:val="center"/>
              <w:rPr>
                <w:rFonts w:hint="eastAsia"/>
                <w:sz w:val="24"/>
                <w:szCs w:val="24"/>
                <w:highlight w:val="none"/>
              </w:rPr>
            </w:pPr>
            <w:r>
              <w:rPr>
                <w:rFonts w:hint="eastAsia"/>
                <w:sz w:val="24"/>
                <w:szCs w:val="24"/>
                <w:highlight w:val="none"/>
              </w:rPr>
              <w:t>商务部分（C）</w:t>
            </w:r>
          </w:p>
        </w:tc>
        <w:tc>
          <w:tcPr>
            <w:tcW w:w="788" w:type="dxa"/>
            <w:vMerge w:val="restart"/>
            <w:noWrap w:val="0"/>
            <w:vAlign w:val="center"/>
          </w:tcPr>
          <w:p>
            <w:pPr>
              <w:jc w:val="center"/>
              <w:rPr>
                <w:rFonts w:hint="eastAsia"/>
                <w:sz w:val="24"/>
                <w:szCs w:val="24"/>
                <w:highlight w:val="none"/>
              </w:rPr>
            </w:pPr>
            <w:r>
              <w:rPr>
                <w:rFonts w:hint="eastAsia"/>
                <w:sz w:val="24"/>
                <w:szCs w:val="24"/>
                <w:highlight w:val="none"/>
              </w:rPr>
              <w:t>2</w:t>
            </w:r>
            <w:r>
              <w:rPr>
                <w:rFonts w:hint="eastAsia"/>
                <w:sz w:val="24"/>
                <w:szCs w:val="24"/>
                <w:highlight w:val="none"/>
                <w:lang w:val="en-US" w:eastAsia="zh-CN"/>
              </w:rPr>
              <w:t>5</w:t>
            </w:r>
            <w:r>
              <w:rPr>
                <w:rFonts w:hint="eastAsia"/>
                <w:sz w:val="24"/>
                <w:szCs w:val="24"/>
                <w:highlight w:val="none"/>
              </w:rPr>
              <w:t>分</w:t>
            </w:r>
          </w:p>
        </w:tc>
        <w:tc>
          <w:tcPr>
            <w:tcW w:w="1290" w:type="dxa"/>
            <w:noWrap w:val="0"/>
            <w:vAlign w:val="center"/>
          </w:tcPr>
          <w:p>
            <w:pPr>
              <w:jc w:val="center"/>
              <w:rPr>
                <w:rFonts w:hint="eastAsia"/>
                <w:sz w:val="24"/>
                <w:szCs w:val="24"/>
                <w:highlight w:val="none"/>
              </w:rPr>
            </w:pPr>
            <w:r>
              <w:rPr>
                <w:rFonts w:hint="eastAsia"/>
                <w:sz w:val="24"/>
                <w:szCs w:val="24"/>
                <w:highlight w:val="none"/>
              </w:rPr>
              <w:t>C1、团队实力（10分）</w:t>
            </w:r>
          </w:p>
        </w:tc>
        <w:tc>
          <w:tcPr>
            <w:tcW w:w="6525" w:type="dxa"/>
            <w:noWrap w:val="0"/>
            <w:vAlign w:val="top"/>
          </w:tcPr>
          <w:p>
            <w:pPr>
              <w:rPr>
                <w:rFonts w:hint="eastAsia"/>
                <w:sz w:val="24"/>
                <w:szCs w:val="24"/>
                <w:highlight w:val="none"/>
              </w:rPr>
            </w:pPr>
            <w:r>
              <w:rPr>
                <w:rFonts w:hint="eastAsia"/>
                <w:sz w:val="24"/>
                <w:szCs w:val="24"/>
                <w:highlight w:val="none"/>
              </w:rPr>
              <w:t>本项目负责人担任过同类项目管理经验10年以上得</w:t>
            </w:r>
            <w:r>
              <w:rPr>
                <w:rFonts w:hint="eastAsia"/>
                <w:sz w:val="24"/>
                <w:szCs w:val="24"/>
                <w:highlight w:val="none"/>
                <w:lang w:val="en-US" w:eastAsia="zh-CN"/>
              </w:rPr>
              <w:t>10</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5年以上得5分</w:t>
            </w:r>
            <w:r>
              <w:rPr>
                <w:rFonts w:hint="eastAsia"/>
                <w:sz w:val="24"/>
                <w:szCs w:val="24"/>
                <w:highlight w:val="none"/>
              </w:rPr>
              <w:t>（10分）；</w:t>
            </w:r>
          </w:p>
          <w:p>
            <w:pPr>
              <w:rPr>
                <w:rFonts w:hint="eastAsia"/>
                <w:sz w:val="24"/>
                <w:szCs w:val="24"/>
                <w:highlight w:val="none"/>
              </w:rPr>
            </w:pPr>
            <w:r>
              <w:rPr>
                <w:rFonts w:hint="eastAsia"/>
                <w:sz w:val="24"/>
                <w:szCs w:val="24"/>
                <w:highlight w:val="none"/>
              </w:rPr>
              <w:t>证明文件：投标人须提供相关有效业绩的合同关键页（证明文件中须清晰体现项目签订时间、项目金额、项目内容等）复印件加盖投标人公章。</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1290" w:type="dxa"/>
            <w:noWrap w:val="0"/>
            <w:vAlign w:val="center"/>
          </w:tcPr>
          <w:p>
            <w:pPr>
              <w:jc w:val="center"/>
              <w:rPr>
                <w:rFonts w:hint="eastAsia" w:ascii="Times New Roman" w:hAnsi="Times New Roman" w:eastAsia="仿宋_GB2312"/>
                <w:spacing w:val="10"/>
                <w:kern w:val="2"/>
                <w:sz w:val="24"/>
                <w:szCs w:val="24"/>
                <w:highlight w:val="none"/>
                <w:lang w:val="en-US" w:eastAsia="zh-CN" w:bidi="ar-SA"/>
              </w:rPr>
            </w:pPr>
            <w:r>
              <w:rPr>
                <w:rFonts w:hint="eastAsia"/>
                <w:sz w:val="24"/>
                <w:szCs w:val="24"/>
                <w:highlight w:val="none"/>
              </w:rPr>
              <w:t>C2、售后服务（10分）</w:t>
            </w:r>
          </w:p>
        </w:tc>
        <w:tc>
          <w:tcPr>
            <w:tcW w:w="6525" w:type="dxa"/>
            <w:noWrap w:val="0"/>
            <w:vAlign w:val="top"/>
          </w:tcPr>
          <w:p>
            <w:pPr>
              <w:rPr>
                <w:rFonts w:hint="eastAsia" w:ascii="Times New Roman" w:hAnsi="Times New Roman" w:eastAsia="仿宋_GB2312"/>
                <w:spacing w:val="10"/>
                <w:kern w:val="2"/>
                <w:sz w:val="24"/>
                <w:szCs w:val="24"/>
                <w:highlight w:val="none"/>
                <w:lang w:val="en-US" w:eastAsia="zh-CN" w:bidi="ar-SA"/>
              </w:rPr>
            </w:pPr>
            <w:r>
              <w:rPr>
                <w:rFonts w:hint="eastAsia"/>
                <w:sz w:val="24"/>
                <w:szCs w:val="24"/>
                <w:highlight w:val="none"/>
              </w:rPr>
              <w:t>售后服务承诺详细、具体，满足用户要求且优于其他投标人售后服务承诺，并承诺在项目实施过程中能够按照客户方的需求不断完善和改进，以满足客户方的功能需求</w:t>
            </w:r>
            <w:r>
              <w:rPr>
                <w:rFonts w:hint="eastAsia"/>
                <w:sz w:val="24"/>
                <w:szCs w:val="24"/>
                <w:highlight w:val="none"/>
                <w:lang w:eastAsia="zh-CN"/>
              </w:rPr>
              <w:t>。提供</w:t>
            </w:r>
            <w:r>
              <w:rPr>
                <w:rFonts w:hint="eastAsia"/>
                <w:sz w:val="24"/>
                <w:szCs w:val="24"/>
                <w:highlight w:val="none"/>
              </w:rPr>
              <w:t>《</w:t>
            </w:r>
            <w:r>
              <w:rPr>
                <w:rFonts w:hint="eastAsia"/>
                <w:sz w:val="24"/>
                <w:szCs w:val="24"/>
                <w:highlight w:val="none"/>
                <w:lang w:eastAsia="zh-CN"/>
              </w:rPr>
              <w:t>售后服务承诺函</w:t>
            </w:r>
            <w:r>
              <w:rPr>
                <w:rFonts w:hint="eastAsia"/>
                <w:sz w:val="24"/>
                <w:szCs w:val="24"/>
                <w:highlight w:val="none"/>
              </w:rPr>
              <w:t>》</w:t>
            </w:r>
            <w:r>
              <w:rPr>
                <w:rFonts w:hint="eastAsia"/>
                <w:sz w:val="24"/>
                <w:szCs w:val="24"/>
                <w:highlight w:val="none"/>
                <w:lang w:eastAsia="zh-CN"/>
              </w:rPr>
              <w:t>的，得</w:t>
            </w:r>
            <w:r>
              <w:rPr>
                <w:rFonts w:hint="eastAsia"/>
                <w:sz w:val="24"/>
                <w:szCs w:val="24"/>
                <w:highlight w:val="none"/>
                <w:lang w:val="en-US" w:eastAsia="zh-CN"/>
              </w:rPr>
              <w:t>10分，不提供不得分</w:t>
            </w:r>
            <w:r>
              <w:rPr>
                <w:rFonts w:hint="eastAsia"/>
                <w:sz w:val="24"/>
                <w:szCs w:val="24"/>
                <w:highlight w:val="none"/>
              </w:rPr>
              <w:t>。</w:t>
            </w:r>
            <w:r>
              <w:rPr>
                <w:rFonts w:hint="eastAsia"/>
                <w:sz w:val="24"/>
                <w:szCs w:val="24"/>
                <w:highlight w:val="none"/>
                <w:lang w:eastAsia="zh-CN"/>
              </w:rPr>
              <w:t>（</w:t>
            </w:r>
            <w:r>
              <w:rPr>
                <w:rFonts w:hint="eastAsia"/>
                <w:sz w:val="24"/>
                <w:szCs w:val="24"/>
                <w:highlight w:val="none"/>
              </w:rPr>
              <w:t>《</w:t>
            </w:r>
            <w:r>
              <w:rPr>
                <w:rFonts w:hint="eastAsia"/>
                <w:sz w:val="24"/>
                <w:szCs w:val="24"/>
                <w:highlight w:val="none"/>
                <w:lang w:eastAsia="zh-CN"/>
              </w:rPr>
              <w:t>售后服务承诺函</w:t>
            </w:r>
            <w:r>
              <w:rPr>
                <w:rFonts w:hint="eastAsia"/>
                <w:sz w:val="24"/>
                <w:szCs w:val="24"/>
                <w:highlight w:val="none"/>
              </w:rPr>
              <w:t>》格式</w:t>
            </w:r>
            <w:r>
              <w:rPr>
                <w:rFonts w:hint="eastAsia"/>
                <w:sz w:val="24"/>
                <w:szCs w:val="24"/>
                <w:highlight w:val="none"/>
                <w:lang w:eastAsia="zh-CN"/>
              </w:rPr>
              <w:t>自拟</w:t>
            </w:r>
            <w:r>
              <w:rPr>
                <w:rFonts w:hint="eastAsia"/>
                <w:sz w:val="24"/>
                <w:szCs w:val="24"/>
                <w:highlight w:val="none"/>
              </w:rPr>
              <w:t>。）</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1290" w:type="dxa"/>
            <w:noWrap w:val="0"/>
            <w:vAlign w:val="center"/>
          </w:tcPr>
          <w:p>
            <w:pPr>
              <w:jc w:val="center"/>
              <w:rPr>
                <w:rFonts w:hint="eastAsia"/>
                <w:sz w:val="24"/>
                <w:szCs w:val="24"/>
                <w:highlight w:val="none"/>
              </w:rPr>
            </w:pPr>
            <w:r>
              <w:rPr>
                <w:rFonts w:hint="eastAsia"/>
                <w:sz w:val="24"/>
                <w:szCs w:val="24"/>
                <w:highlight w:val="none"/>
              </w:rPr>
              <w:t>C</w:t>
            </w: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eastAsia="zh-CN"/>
              </w:rPr>
              <w:t>诚信承诺</w:t>
            </w:r>
            <w:r>
              <w:rPr>
                <w:rFonts w:hint="eastAsia"/>
                <w:sz w:val="24"/>
                <w:szCs w:val="24"/>
                <w:highlight w:val="none"/>
              </w:rPr>
              <w:t>（</w:t>
            </w:r>
            <w:r>
              <w:rPr>
                <w:rFonts w:hint="eastAsia"/>
                <w:sz w:val="24"/>
                <w:szCs w:val="24"/>
                <w:highlight w:val="none"/>
                <w:lang w:val="en-US" w:eastAsia="zh-CN"/>
              </w:rPr>
              <w:t>5</w:t>
            </w:r>
            <w:r>
              <w:rPr>
                <w:rFonts w:hint="eastAsia"/>
                <w:sz w:val="24"/>
                <w:szCs w:val="24"/>
                <w:highlight w:val="none"/>
              </w:rPr>
              <w:t>分）</w:t>
            </w:r>
          </w:p>
        </w:tc>
        <w:tc>
          <w:tcPr>
            <w:tcW w:w="6525" w:type="dxa"/>
            <w:noWrap w:val="0"/>
            <w:vAlign w:val="top"/>
          </w:tcPr>
          <w:p>
            <w:pPr>
              <w:rPr>
                <w:rFonts w:hint="eastAsia"/>
                <w:sz w:val="24"/>
                <w:szCs w:val="24"/>
                <w:highlight w:val="none"/>
              </w:rPr>
            </w:pPr>
            <w:r>
              <w:rPr>
                <w:rFonts w:hint="eastAsia"/>
                <w:sz w:val="24"/>
                <w:szCs w:val="24"/>
                <w:highlight w:val="none"/>
                <w:lang w:val="en-US" w:eastAsia="zh-CN"/>
              </w:rPr>
              <w:t>根</w:t>
            </w:r>
            <w:r>
              <w:rPr>
                <w:rFonts w:hint="eastAsia"/>
                <w:sz w:val="24"/>
                <w:szCs w:val="24"/>
                <w:highlight w:val="none"/>
              </w:rPr>
              <w:t>据《深圳市政府采购投标人诚信管理暂行办法》相关规定，投标人在参与政府采购活动中出现诚信相关问题且在相关主管部门处理措施实施期限内的本项不得分，否则得</w:t>
            </w:r>
            <w:r>
              <w:rPr>
                <w:rFonts w:hint="eastAsia"/>
                <w:sz w:val="24"/>
                <w:szCs w:val="24"/>
                <w:highlight w:val="none"/>
                <w:lang w:val="en-US" w:eastAsia="zh-CN"/>
              </w:rPr>
              <w:t>5</w:t>
            </w:r>
            <w:r>
              <w:rPr>
                <w:rFonts w:hint="eastAsia"/>
                <w:sz w:val="24"/>
                <w:szCs w:val="24"/>
                <w:highlight w:val="none"/>
              </w:rPr>
              <w:t>分。（须提供《诚信承诺函》，按招标文件格式要求提供，不提供不得分。如被认定提供的陈述与事实不符的，依法追究其责任。）</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7815" w:type="dxa"/>
            <w:gridSpan w:val="2"/>
            <w:noWrap w:val="0"/>
            <w:vAlign w:val="center"/>
          </w:tcPr>
          <w:p>
            <w:pPr>
              <w:jc w:val="center"/>
              <w:rPr>
                <w:rFonts w:hint="default" w:eastAsia="仿宋_GB2312"/>
                <w:sz w:val="24"/>
                <w:szCs w:val="24"/>
                <w:highlight w:val="none"/>
                <w:lang w:val="en-US" w:eastAsia="zh-CN"/>
              </w:rPr>
            </w:pPr>
            <w:r>
              <w:rPr>
                <w:rFonts w:hint="eastAsia"/>
                <w:sz w:val="24"/>
                <w:szCs w:val="24"/>
                <w:highlight w:val="none"/>
              </w:rPr>
              <w:t>商务部分得分（C）=C1+C2</w:t>
            </w:r>
            <w:r>
              <w:rPr>
                <w:rFonts w:hint="eastAsia"/>
                <w:sz w:val="24"/>
                <w:szCs w:val="24"/>
                <w:highlight w:val="none"/>
                <w:lang w:val="en-US" w:eastAsia="zh-CN"/>
              </w:rPr>
              <w:t>+C3</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314" w:type="dxa"/>
            <w:vMerge w:val="restart"/>
            <w:noWrap w:val="0"/>
            <w:vAlign w:val="center"/>
          </w:tcPr>
          <w:p>
            <w:pPr>
              <w:jc w:val="center"/>
              <w:rPr>
                <w:rFonts w:hint="eastAsia"/>
                <w:sz w:val="24"/>
                <w:szCs w:val="24"/>
                <w:highlight w:val="none"/>
              </w:rPr>
            </w:pPr>
            <w:r>
              <w:rPr>
                <w:rFonts w:hint="eastAsia"/>
                <w:sz w:val="24"/>
                <w:szCs w:val="24"/>
                <w:highlight w:val="none"/>
              </w:rPr>
              <w:t>疫情防控</w:t>
            </w:r>
          </w:p>
          <w:p>
            <w:pPr>
              <w:jc w:val="center"/>
              <w:rPr>
                <w:rFonts w:hint="eastAsia"/>
                <w:sz w:val="24"/>
                <w:szCs w:val="24"/>
                <w:highlight w:val="none"/>
              </w:rPr>
            </w:pPr>
            <w:r>
              <w:rPr>
                <w:rFonts w:hint="eastAsia"/>
                <w:sz w:val="24"/>
                <w:szCs w:val="24"/>
                <w:highlight w:val="none"/>
              </w:rPr>
              <w:t>（D）</w:t>
            </w:r>
          </w:p>
        </w:tc>
        <w:tc>
          <w:tcPr>
            <w:tcW w:w="788" w:type="dxa"/>
            <w:vMerge w:val="restart"/>
            <w:noWrap w:val="0"/>
            <w:vAlign w:val="center"/>
          </w:tcPr>
          <w:p>
            <w:pPr>
              <w:jc w:val="center"/>
              <w:rPr>
                <w:rFonts w:hint="eastAsia"/>
                <w:sz w:val="24"/>
                <w:szCs w:val="24"/>
                <w:highlight w:val="none"/>
              </w:rPr>
            </w:pPr>
            <w:r>
              <w:rPr>
                <w:rFonts w:hint="eastAsia"/>
                <w:sz w:val="24"/>
                <w:szCs w:val="24"/>
                <w:highlight w:val="none"/>
              </w:rPr>
              <w:t>5分</w:t>
            </w:r>
          </w:p>
        </w:tc>
        <w:tc>
          <w:tcPr>
            <w:tcW w:w="1290" w:type="dxa"/>
            <w:noWrap w:val="0"/>
            <w:vAlign w:val="center"/>
          </w:tcPr>
          <w:p>
            <w:pPr>
              <w:jc w:val="center"/>
              <w:rPr>
                <w:rFonts w:hint="default"/>
                <w:sz w:val="24"/>
                <w:szCs w:val="24"/>
                <w:highlight w:val="none"/>
                <w:lang w:val="en-US"/>
              </w:rPr>
            </w:pPr>
            <w:r>
              <w:rPr>
                <w:rFonts w:hint="eastAsia"/>
                <w:sz w:val="24"/>
                <w:szCs w:val="24"/>
                <w:highlight w:val="none"/>
                <w:lang w:val="en-US" w:eastAsia="zh-CN"/>
              </w:rPr>
              <w:t>D1、疫情防控企业</w:t>
            </w:r>
          </w:p>
          <w:p>
            <w:pPr>
              <w:jc w:val="center"/>
              <w:rPr>
                <w:rFonts w:hint="eastAsia" w:ascii="Times New Roman" w:hAnsi="Times New Roman" w:eastAsia="仿宋_GB2312"/>
                <w:spacing w:val="10"/>
                <w:kern w:val="2"/>
                <w:sz w:val="32"/>
                <w:szCs w:val="24"/>
                <w:lang w:val="en-US" w:eastAsia="zh-CN" w:bidi="ar-SA"/>
              </w:rPr>
            </w:pPr>
            <w:r>
              <w:rPr>
                <w:rFonts w:hint="eastAsia"/>
                <w:sz w:val="24"/>
                <w:szCs w:val="24"/>
                <w:highlight w:val="none"/>
              </w:rPr>
              <w:t>（</w:t>
            </w:r>
            <w:r>
              <w:rPr>
                <w:rFonts w:hint="eastAsia"/>
                <w:sz w:val="24"/>
                <w:szCs w:val="24"/>
                <w:highlight w:val="none"/>
                <w:lang w:val="en-US" w:eastAsia="zh-CN"/>
              </w:rPr>
              <w:t>3</w:t>
            </w:r>
            <w:r>
              <w:rPr>
                <w:rFonts w:hint="eastAsia"/>
                <w:sz w:val="24"/>
                <w:szCs w:val="24"/>
                <w:highlight w:val="none"/>
              </w:rPr>
              <w:t>分）</w:t>
            </w:r>
          </w:p>
        </w:tc>
        <w:tc>
          <w:tcPr>
            <w:tcW w:w="6525" w:type="dxa"/>
            <w:noWrap w:val="0"/>
            <w:vAlign w:val="center"/>
          </w:tcPr>
          <w:p>
            <w:pPr>
              <w:jc w:val="both"/>
              <w:rPr>
                <w:rFonts w:hint="eastAsia" w:ascii="Times New Roman" w:hAnsi="Times New Roman" w:eastAsia="仿宋_GB2312"/>
                <w:spacing w:val="10"/>
                <w:kern w:val="2"/>
                <w:sz w:val="32"/>
                <w:szCs w:val="24"/>
                <w:lang w:val="en-US" w:eastAsia="zh-CN" w:bidi="ar-SA"/>
              </w:rPr>
            </w:pPr>
            <w:r>
              <w:rPr>
                <w:rFonts w:hint="eastAsia"/>
                <w:sz w:val="24"/>
                <w:szCs w:val="24"/>
                <w:highlight w:val="none"/>
              </w:rPr>
              <w:t>疫情防控重点企业此评分项中满分为3分，具体按以下方式评分：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r>
              <w:rPr>
                <w:rFonts w:hint="eastAsia"/>
                <w:sz w:val="24"/>
                <w:szCs w:val="24"/>
                <w:highlight w:val="none"/>
                <w:lang w:eastAsia="zh-CN"/>
              </w:rPr>
              <w:t>。</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1290" w:type="dxa"/>
            <w:noWrap w:val="0"/>
            <w:vAlign w:val="center"/>
          </w:tcPr>
          <w:p>
            <w:pPr>
              <w:jc w:val="center"/>
              <w:rPr>
                <w:rFonts w:hint="default"/>
                <w:sz w:val="24"/>
                <w:szCs w:val="24"/>
                <w:highlight w:val="none"/>
                <w:lang w:val="en-US"/>
              </w:rPr>
            </w:pPr>
            <w:r>
              <w:rPr>
                <w:rFonts w:hint="eastAsia"/>
                <w:sz w:val="24"/>
                <w:szCs w:val="24"/>
                <w:highlight w:val="none"/>
                <w:lang w:val="en-US" w:eastAsia="zh-CN"/>
              </w:rPr>
              <w:t>D2、稳岗企业</w:t>
            </w:r>
          </w:p>
          <w:p>
            <w:pPr>
              <w:jc w:val="center"/>
              <w:rPr>
                <w:rFonts w:hint="eastAsia" w:ascii="Times New Roman" w:hAnsi="Times New Roman" w:eastAsia="仿宋_GB2312"/>
                <w:spacing w:val="10"/>
                <w:kern w:val="2"/>
                <w:sz w:val="24"/>
                <w:szCs w:val="24"/>
                <w:highlight w:val="none"/>
                <w:lang w:val="en-US" w:eastAsia="zh-CN" w:bidi="ar-SA"/>
              </w:rPr>
            </w:pPr>
            <w:r>
              <w:rPr>
                <w:rFonts w:hint="eastAsia"/>
                <w:sz w:val="24"/>
                <w:szCs w:val="24"/>
                <w:highlight w:val="none"/>
              </w:rPr>
              <w:t>（</w:t>
            </w:r>
            <w:r>
              <w:rPr>
                <w:rFonts w:hint="eastAsia"/>
                <w:sz w:val="24"/>
                <w:szCs w:val="24"/>
                <w:highlight w:val="none"/>
                <w:lang w:val="en-US" w:eastAsia="zh-CN"/>
              </w:rPr>
              <w:t>2</w:t>
            </w:r>
            <w:r>
              <w:rPr>
                <w:rFonts w:hint="eastAsia"/>
                <w:sz w:val="24"/>
                <w:szCs w:val="24"/>
                <w:highlight w:val="none"/>
              </w:rPr>
              <w:t>分）</w:t>
            </w:r>
          </w:p>
        </w:tc>
        <w:tc>
          <w:tcPr>
            <w:tcW w:w="6525" w:type="dxa"/>
            <w:noWrap w:val="0"/>
            <w:vAlign w:val="center"/>
          </w:tcPr>
          <w:p>
            <w:pPr>
              <w:jc w:val="both"/>
              <w:rPr>
                <w:rFonts w:hint="eastAsia" w:ascii="Times New Roman" w:hAnsi="Times New Roman" w:eastAsia="仿宋_GB2312"/>
                <w:spacing w:val="10"/>
                <w:kern w:val="2"/>
                <w:sz w:val="24"/>
                <w:szCs w:val="24"/>
                <w:highlight w:val="none"/>
                <w:lang w:val="en-US" w:eastAsia="zh-CN" w:bidi="ar-SA"/>
              </w:rPr>
            </w:pPr>
            <w:r>
              <w:rPr>
                <w:rFonts w:hint="eastAsia"/>
                <w:sz w:val="24"/>
                <w:szCs w:val="24"/>
                <w:highlight w:val="none"/>
              </w:rPr>
              <w:t>稳岗企业此评分项中满分为2分。具体按以下方式评分：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14" w:type="dxa"/>
            <w:vMerge w:val="continue"/>
            <w:noWrap w:val="0"/>
            <w:vAlign w:val="center"/>
          </w:tcPr>
          <w:p>
            <w:pPr>
              <w:jc w:val="center"/>
              <w:rPr>
                <w:rFonts w:hint="eastAsia"/>
                <w:sz w:val="24"/>
                <w:szCs w:val="24"/>
                <w:highlight w:val="none"/>
              </w:rPr>
            </w:pPr>
          </w:p>
        </w:tc>
        <w:tc>
          <w:tcPr>
            <w:tcW w:w="788" w:type="dxa"/>
            <w:vMerge w:val="continue"/>
            <w:noWrap w:val="0"/>
            <w:vAlign w:val="center"/>
          </w:tcPr>
          <w:p>
            <w:pPr>
              <w:jc w:val="center"/>
              <w:rPr>
                <w:rFonts w:hint="eastAsia"/>
                <w:sz w:val="24"/>
                <w:szCs w:val="24"/>
                <w:highlight w:val="none"/>
              </w:rPr>
            </w:pPr>
          </w:p>
        </w:tc>
        <w:tc>
          <w:tcPr>
            <w:tcW w:w="7815" w:type="dxa"/>
            <w:gridSpan w:val="2"/>
            <w:noWrap w:val="0"/>
            <w:vAlign w:val="center"/>
          </w:tcPr>
          <w:p>
            <w:pPr>
              <w:jc w:val="center"/>
              <w:rPr>
                <w:rFonts w:hint="eastAsia"/>
                <w:sz w:val="24"/>
                <w:szCs w:val="24"/>
                <w:highlight w:val="none"/>
              </w:rPr>
            </w:pPr>
            <w:r>
              <w:rPr>
                <w:rFonts w:hint="eastAsia"/>
                <w:sz w:val="24"/>
                <w:szCs w:val="24"/>
                <w:highlight w:val="none"/>
                <w:lang w:val="en-US" w:eastAsia="zh-CN"/>
              </w:rPr>
              <w:t>疫情防控得分（D）=D1+D2</w:t>
            </w:r>
          </w:p>
        </w:tc>
        <w:tc>
          <w:tcPr>
            <w:tcW w:w="977" w:type="dxa"/>
            <w:noWrap w:val="0"/>
            <w:vAlign w:val="top"/>
          </w:tcPr>
          <w:p>
            <w:pPr>
              <w:rPr>
                <w:rFonts w:hint="eastAsia"/>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17" w:type="dxa"/>
            <w:gridSpan w:val="4"/>
            <w:noWrap w:val="0"/>
            <w:vAlign w:val="center"/>
          </w:tcPr>
          <w:p>
            <w:pPr>
              <w:jc w:val="center"/>
              <w:rPr>
                <w:rFonts w:hint="default" w:eastAsia="仿宋_GB2312"/>
                <w:sz w:val="24"/>
                <w:szCs w:val="24"/>
                <w:highlight w:val="none"/>
                <w:lang w:val="en-US" w:eastAsia="zh-CN"/>
              </w:rPr>
            </w:pPr>
            <w:r>
              <w:rPr>
                <w:rFonts w:hint="eastAsia"/>
                <w:sz w:val="24"/>
                <w:szCs w:val="24"/>
                <w:highlight w:val="none"/>
              </w:rPr>
              <w:t>评标总得分 Z = A + B + C</w:t>
            </w:r>
            <w:r>
              <w:rPr>
                <w:rFonts w:hint="eastAsia"/>
                <w:sz w:val="24"/>
                <w:szCs w:val="24"/>
                <w:highlight w:val="none"/>
                <w:lang w:val="en-US" w:eastAsia="zh-CN"/>
              </w:rPr>
              <w:t>+D</w:t>
            </w:r>
          </w:p>
        </w:tc>
        <w:tc>
          <w:tcPr>
            <w:tcW w:w="977" w:type="dxa"/>
            <w:noWrap w:val="0"/>
            <w:vAlign w:val="center"/>
          </w:tcPr>
          <w:p>
            <w:pPr>
              <w:rPr>
                <w:rFonts w:hint="eastAsia"/>
                <w:sz w:val="30"/>
                <w:szCs w:val="30"/>
                <w:highlight w:val="none"/>
              </w:rPr>
            </w:pPr>
          </w:p>
        </w:tc>
      </w:tr>
    </w:tbl>
    <w:p>
      <w:pPr>
        <w:spacing w:line="560" w:lineRule="exact"/>
        <w:jc w:val="left"/>
        <w:rPr>
          <w:rFonts w:hint="eastAsia" w:ascii="黑体" w:hAnsi="黑体" w:eastAsia="黑体"/>
          <w:highlight w:val="none"/>
        </w:rPr>
      </w:pPr>
    </w:p>
    <w:p>
      <w:pPr>
        <w:pStyle w:val="2"/>
        <w:rPr>
          <w:rFonts w:hint="eastAsia" w:ascii="黑体" w:hAnsi="黑体" w:eastAsia="黑体"/>
          <w:highlight w:val="none"/>
        </w:rPr>
      </w:pPr>
    </w:p>
    <w:p>
      <w:pPr>
        <w:pStyle w:val="2"/>
        <w:rPr>
          <w:rFonts w:hint="eastAsia" w:ascii="黑体" w:hAnsi="黑体" w:eastAsia="黑体"/>
          <w:highlight w:val="none"/>
        </w:rPr>
      </w:pPr>
    </w:p>
    <w:p>
      <w:pPr>
        <w:pStyle w:val="2"/>
        <w:rPr>
          <w:rFonts w:hint="eastAsia" w:ascii="黑体" w:hAnsi="黑体" w:eastAsia="黑体"/>
          <w:highlight w:val="none"/>
        </w:rPr>
      </w:pPr>
    </w:p>
    <w:p>
      <w:pPr>
        <w:spacing w:line="560" w:lineRule="exact"/>
        <w:jc w:val="left"/>
        <w:rPr>
          <w:rFonts w:hint="eastAsia" w:ascii="黑体" w:hAnsi="黑体" w:eastAsia="黑体"/>
          <w:highlight w:val="none"/>
        </w:rPr>
      </w:pPr>
    </w:p>
    <w:p>
      <w:pPr>
        <w:spacing w:line="560" w:lineRule="exact"/>
        <w:jc w:val="left"/>
        <w:rPr>
          <w:rFonts w:hint="eastAsia" w:ascii="黑体" w:hAnsi="黑体" w:eastAsia="黑体"/>
          <w:highlight w:val="none"/>
        </w:rPr>
      </w:pPr>
    </w:p>
    <w:p>
      <w:pPr>
        <w:spacing w:line="560" w:lineRule="exact"/>
        <w:jc w:val="left"/>
        <w:rPr>
          <w:rFonts w:hint="eastAsia" w:ascii="黑体" w:hAnsi="黑体" w:eastAsia="黑体"/>
          <w:highlight w:val="none"/>
        </w:rPr>
      </w:pPr>
    </w:p>
    <w:p>
      <w:pPr>
        <w:spacing w:line="560" w:lineRule="exact"/>
        <w:jc w:val="left"/>
        <w:rPr>
          <w:rFonts w:hint="eastAsia" w:ascii="黑体" w:hAnsi="黑体" w:eastAsia="黑体"/>
          <w:highlight w:val="none"/>
        </w:rPr>
      </w:pPr>
    </w:p>
    <w:p/>
    <w:sectPr>
      <w:footerReference r:id="rId3" w:type="default"/>
      <w:footerReference r:id="rId4" w:type="even"/>
      <w:pgSz w:w="11906" w:h="16838"/>
      <w:pgMar w:top="2098" w:right="1587"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Batang">
    <w:altName w:val="Adobe Myungjo Std M"/>
    <w:panose1 w:val="02030600000101010101"/>
    <w:charset w:val="81"/>
    <w:family w:val="roman"/>
    <w:pitch w:val="default"/>
    <w:sig w:usb0="00000000" w:usb1="00000000"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 w:name="Adobe Myungjo Std M">
    <w:panose1 w:val="02020600000000000000"/>
    <w:charset w:val="81"/>
    <w:family w:val="roman"/>
    <w:pitch w:val="default"/>
    <w:sig w:usb0="00000001" w:usb1="21D72C10" w:usb2="00000010" w:usb3="00000000" w:csb0="602A0005"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16" w:wrap="around" w:vAnchor="text" w:hAnchor="page" w:x="1906" w:y="-368"/>
      <w:rPr>
        <w:rStyle w:val="8"/>
        <w:rFonts w:ascii="Batang" w:hAnsi="Batang" w:eastAsia="Batang"/>
        <w:sz w:val="28"/>
        <w:szCs w:val="28"/>
      </w:rPr>
    </w:pPr>
    <w:r>
      <w:rPr>
        <w:rStyle w:val="8"/>
        <w:rFonts w:hint="eastAsia" w:ascii="Batang" w:hAnsi="Batang" w:eastAsia="Batang"/>
        <w:sz w:val="28"/>
        <w:szCs w:val="28"/>
      </w:rPr>
      <w:t>—</w:t>
    </w:r>
    <w:r>
      <w:rPr>
        <w:rStyle w:val="8"/>
        <w:rFonts w:hint="eastAsia" w:ascii="Batang" w:hAnsi="Batang" w:eastAsia="Batang"/>
        <w:sz w:val="10"/>
        <w:szCs w:val="10"/>
      </w:rPr>
      <w:t>　</w:t>
    </w:r>
    <w:r>
      <w:rPr>
        <w:rFonts w:ascii="Batang" w:hAnsi="Batang" w:eastAsia="Batang"/>
        <w:sz w:val="28"/>
        <w:szCs w:val="28"/>
      </w:rPr>
      <w:fldChar w:fldCharType="begin"/>
    </w:r>
    <w:r>
      <w:rPr>
        <w:rStyle w:val="8"/>
        <w:rFonts w:ascii="Batang" w:hAnsi="Batang" w:eastAsia="Batang"/>
        <w:sz w:val="28"/>
        <w:szCs w:val="28"/>
      </w:rPr>
      <w:instrText xml:space="preserve">PAGE  </w:instrText>
    </w:r>
    <w:r>
      <w:rPr>
        <w:rFonts w:ascii="Batang" w:hAnsi="Batang" w:eastAsia="Batang"/>
        <w:sz w:val="28"/>
        <w:szCs w:val="28"/>
      </w:rPr>
      <w:fldChar w:fldCharType="separate"/>
    </w:r>
    <w:r>
      <w:rPr>
        <w:rStyle w:val="8"/>
        <w:rFonts w:ascii="Batang" w:hAnsi="Batang" w:eastAsia="Batang"/>
        <w:sz w:val="28"/>
        <w:szCs w:val="28"/>
      </w:rPr>
      <w:t>2</w:t>
    </w:r>
    <w:r>
      <w:rPr>
        <w:rFonts w:ascii="Batang" w:hAnsi="Batang" w:eastAsia="Batang"/>
        <w:sz w:val="28"/>
        <w:szCs w:val="28"/>
      </w:rPr>
      <w:fldChar w:fldCharType="end"/>
    </w:r>
    <w:r>
      <w:rPr>
        <w:rStyle w:val="8"/>
        <w:rFonts w:hint="eastAsia" w:ascii="Batang" w:hAnsi="Batang" w:eastAsia="Batang"/>
        <w:sz w:val="10"/>
        <w:szCs w:val="10"/>
      </w:rPr>
      <w:t>　</w:t>
    </w:r>
    <w:r>
      <w:rPr>
        <w:rStyle w:val="8"/>
        <w:rFonts w:hint="eastAsia" w:ascii="Batang" w:hAnsi="Batang" w:eastAsia="Batang"/>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11D1A"/>
    <w:rsid w:val="00362F5A"/>
    <w:rsid w:val="01EF70D1"/>
    <w:rsid w:val="028C5369"/>
    <w:rsid w:val="03184704"/>
    <w:rsid w:val="052B3A09"/>
    <w:rsid w:val="055762A2"/>
    <w:rsid w:val="05966CBD"/>
    <w:rsid w:val="078D0532"/>
    <w:rsid w:val="0D242841"/>
    <w:rsid w:val="0E251D9C"/>
    <w:rsid w:val="0E8A3702"/>
    <w:rsid w:val="0FB242EA"/>
    <w:rsid w:val="11752FAE"/>
    <w:rsid w:val="12835719"/>
    <w:rsid w:val="12E11575"/>
    <w:rsid w:val="12E1710A"/>
    <w:rsid w:val="12E90E8F"/>
    <w:rsid w:val="1388241A"/>
    <w:rsid w:val="16846D3C"/>
    <w:rsid w:val="184E2898"/>
    <w:rsid w:val="1AF33DAC"/>
    <w:rsid w:val="1C4E61AD"/>
    <w:rsid w:val="1C9570D2"/>
    <w:rsid w:val="1F030BAC"/>
    <w:rsid w:val="1F71598D"/>
    <w:rsid w:val="1FB47001"/>
    <w:rsid w:val="206D2090"/>
    <w:rsid w:val="208D3C0E"/>
    <w:rsid w:val="20DA4022"/>
    <w:rsid w:val="230953FE"/>
    <w:rsid w:val="23B92168"/>
    <w:rsid w:val="24F84488"/>
    <w:rsid w:val="254851C0"/>
    <w:rsid w:val="259616FC"/>
    <w:rsid w:val="26CF4E28"/>
    <w:rsid w:val="28136564"/>
    <w:rsid w:val="285F71F5"/>
    <w:rsid w:val="291F7598"/>
    <w:rsid w:val="2DF947FE"/>
    <w:rsid w:val="2E230688"/>
    <w:rsid w:val="2F8D6A16"/>
    <w:rsid w:val="30E01E03"/>
    <w:rsid w:val="31425FF7"/>
    <w:rsid w:val="32200A90"/>
    <w:rsid w:val="35883FC9"/>
    <w:rsid w:val="36047963"/>
    <w:rsid w:val="36576A29"/>
    <w:rsid w:val="366645CF"/>
    <w:rsid w:val="38160E53"/>
    <w:rsid w:val="3B3A1333"/>
    <w:rsid w:val="3BF60C25"/>
    <w:rsid w:val="3C2A05C3"/>
    <w:rsid w:val="3C971D78"/>
    <w:rsid w:val="3D3A6D8C"/>
    <w:rsid w:val="3DF13DAF"/>
    <w:rsid w:val="41162859"/>
    <w:rsid w:val="41895CB2"/>
    <w:rsid w:val="41C77181"/>
    <w:rsid w:val="41D8670B"/>
    <w:rsid w:val="41F34EEE"/>
    <w:rsid w:val="42D51D76"/>
    <w:rsid w:val="43E57F53"/>
    <w:rsid w:val="4490324D"/>
    <w:rsid w:val="44FC48D8"/>
    <w:rsid w:val="461A711E"/>
    <w:rsid w:val="46FA68E4"/>
    <w:rsid w:val="484F1DF5"/>
    <w:rsid w:val="4A8C1F93"/>
    <w:rsid w:val="4B90742F"/>
    <w:rsid w:val="5063449D"/>
    <w:rsid w:val="53F9280B"/>
    <w:rsid w:val="59D0438B"/>
    <w:rsid w:val="59DE3729"/>
    <w:rsid w:val="5C9E243C"/>
    <w:rsid w:val="5D411D1A"/>
    <w:rsid w:val="5E4153B2"/>
    <w:rsid w:val="5FC362C7"/>
    <w:rsid w:val="6015117B"/>
    <w:rsid w:val="60356709"/>
    <w:rsid w:val="609649A8"/>
    <w:rsid w:val="61D87910"/>
    <w:rsid w:val="636B336E"/>
    <w:rsid w:val="6446397C"/>
    <w:rsid w:val="66253C8D"/>
    <w:rsid w:val="66B4372B"/>
    <w:rsid w:val="673F2AB0"/>
    <w:rsid w:val="68E047FC"/>
    <w:rsid w:val="68E82617"/>
    <w:rsid w:val="69AD5681"/>
    <w:rsid w:val="69B03563"/>
    <w:rsid w:val="6DF34EC5"/>
    <w:rsid w:val="710A3E64"/>
    <w:rsid w:val="71ED4457"/>
    <w:rsid w:val="729043C5"/>
    <w:rsid w:val="72DB2282"/>
    <w:rsid w:val="72FF2F5A"/>
    <w:rsid w:val="75B739C6"/>
    <w:rsid w:val="772A07F8"/>
    <w:rsid w:val="77BE0259"/>
    <w:rsid w:val="784A16BD"/>
    <w:rsid w:val="79171E3B"/>
    <w:rsid w:val="7B0604A9"/>
    <w:rsid w:val="7BA14E21"/>
    <w:rsid w:val="7D0F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table of authorities"/>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2020-11-18T09:57:00Z</dcterms:created>
  <dc:creator>小吖唛小珈珈柚</dc:creator>
  <cp:lastModifiedBy>Darcya</cp:lastModifiedBy>
  <cp:lastPrinted>2021-01-12T03:13:00Z</cp:lastPrinted>
  <dcterms:modified xsi:type="dcterms:W3CDTF">2021-01-12T13:04:49Z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237363860_btnclosed</vt:lpwstr>
  </property>
</Properties>
</file>