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60" w:lineRule="exact"/>
        <w:jc w:val="left"/>
        <w:rPr>
          <w:rFonts w:hint="eastAsia" w:eastAsia="黑体"/>
          <w:lang w:val="en-US" w:eastAsia="zh-CN"/>
        </w:rPr>
      </w:pPr>
      <w:r>
        <w:rPr>
          <w:rFonts w:hint="eastAsia" w:ascii="黑体" w:hAnsi="宋体" w:eastAsia="黑体" w:cs="黑体"/>
          <w:sz w:val="32"/>
          <w:szCs w:val="32"/>
        </w:rPr>
        <w:t>附件</w:t>
      </w:r>
      <w:r>
        <w:rPr>
          <w:rFonts w:hint="eastAsia" w:ascii="黑体" w:hAnsi="宋体" w:eastAsia="黑体" w:cs="黑体"/>
          <w:sz w:val="32"/>
          <w:szCs w:val="32"/>
          <w:lang w:val="en-US" w:eastAsia="zh-CN"/>
        </w:rPr>
        <w:t>1</w:t>
      </w:r>
    </w:p>
    <w:p>
      <w:pPr>
        <w:spacing w:line="720" w:lineRule="exact"/>
        <w:ind w:firstLine="920" w:firstLineChars="200"/>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深圳市退役军人服务中心</w:t>
      </w:r>
      <w:r>
        <w:rPr>
          <w:rFonts w:hint="eastAsia" w:ascii="方正小标宋简体" w:hAnsi="方正小标宋简体" w:eastAsia="方正小标宋简体" w:cs="方正小标宋简体"/>
          <w:kern w:val="0"/>
          <w:sz w:val="44"/>
          <w:szCs w:val="44"/>
          <w:lang w:val="en-US" w:eastAsia="zh-CN"/>
        </w:rPr>
        <w:t>2021年</w:t>
      </w:r>
      <w:r>
        <w:rPr>
          <w:rFonts w:hint="eastAsia" w:ascii="方正小标宋简体" w:hAnsi="方正小标宋简体" w:eastAsia="方正小标宋简体" w:cs="方正小标宋简体"/>
          <w:kern w:val="0"/>
          <w:sz w:val="44"/>
          <w:szCs w:val="44"/>
        </w:rPr>
        <w:t>法律服务项目</w:t>
      </w:r>
      <w:r>
        <w:rPr>
          <w:rFonts w:hint="eastAsia" w:ascii="方正小标宋简体" w:hAnsi="方正小标宋简体" w:eastAsia="方正小标宋简体" w:cs="方正小标宋简体"/>
          <w:kern w:val="0"/>
          <w:sz w:val="44"/>
          <w:szCs w:val="44"/>
          <w:lang w:val="en-US" w:eastAsia="zh-CN"/>
        </w:rPr>
        <w:t>综合</w:t>
      </w:r>
      <w:r>
        <w:rPr>
          <w:rFonts w:hint="eastAsia" w:ascii="方正小标宋简体" w:hAnsi="方正小标宋简体" w:eastAsia="方正小标宋简体" w:cs="方正小标宋简体"/>
          <w:kern w:val="0"/>
          <w:sz w:val="44"/>
          <w:szCs w:val="44"/>
        </w:rPr>
        <w:t>评分表</w:t>
      </w:r>
      <w:bookmarkStart w:id="0" w:name="_GoBack"/>
      <w:bookmarkEnd w:id="0"/>
    </w:p>
    <w:p>
      <w:pPr>
        <w:spacing w:line="560" w:lineRule="exact"/>
        <w:ind w:firstLine="680" w:firstLineChars="200"/>
        <w:rPr>
          <w:rFonts w:ascii="仿宋_GB2312" w:hAnsi="仿宋_GB2312" w:cs="仿宋_GB2312"/>
          <w:kern w:val="0"/>
        </w:rPr>
      </w:pP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ascii="仿宋_GB2312" w:hAnsi="仿宋_GB2312" w:eastAsia="仿宋_GB2312" w:cs="仿宋_GB2312"/>
          <w:kern w:val="0"/>
          <w:sz w:val="28"/>
          <w:szCs w:val="28"/>
        </w:rPr>
      </w:pPr>
      <w:r>
        <w:rPr>
          <w:rFonts w:hint="eastAsia" w:ascii="仿宋_GB2312" w:hAnsi="仿宋_GB2312" w:eastAsia="仿宋_GB2312" w:cs="仿宋_GB2312"/>
          <w:color w:val="000000"/>
          <w:sz w:val="28"/>
          <w:szCs w:val="28"/>
          <w:shd w:val="clear" w:color="auto" w:fill="FFFFFF"/>
        </w:rPr>
        <w:t>评标方法为综合评分法，具体评分标准和规则为：从价格、技术和商务三个评分因素由评标小组进行综合评分</w:t>
      </w:r>
      <w:r>
        <w:rPr>
          <w:rFonts w:hint="eastAsia" w:ascii="仿宋_GB2312" w:hAnsi="仿宋_GB2312" w:eastAsia="仿宋_GB2312" w:cs="仿宋_GB2312"/>
          <w:kern w:val="0"/>
          <w:sz w:val="28"/>
          <w:szCs w:val="28"/>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ascii="仿宋_GB2312" w:hAnsi="仿宋_GB2312" w:eastAsia="仿宋_GB2312" w:cs="仿宋_GB2312"/>
          <w:sz w:val="28"/>
          <w:szCs w:val="28"/>
        </w:rPr>
      </w:pPr>
    </w:p>
    <w:p>
      <w:pPr>
        <w:keepNext w:val="0"/>
        <w:keepLines w:val="0"/>
        <w:pageBreakBefore w:val="0"/>
        <w:widowControl w:val="0"/>
        <w:tabs>
          <w:tab w:val="left" w:pos="1570"/>
        </w:tabs>
        <w:kinsoku/>
        <w:wordWrap/>
        <w:overflowPunct/>
        <w:topLinePunct w:val="0"/>
        <w:autoSpaceDE/>
        <w:autoSpaceDN/>
        <w:bidi w:val="0"/>
        <w:adjustRightInd/>
        <w:snapToGrid/>
        <w:spacing w:line="400" w:lineRule="exact"/>
        <w:ind w:firstLine="60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一、评分因素及分值</w:t>
      </w:r>
    </w:p>
    <w:tbl>
      <w:tblPr>
        <w:tblStyle w:val="5"/>
        <w:tblW w:w="92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89"/>
        <w:gridCol w:w="46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45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评分因素</w:t>
            </w:r>
          </w:p>
        </w:tc>
        <w:tc>
          <w:tcPr>
            <w:tcW w:w="46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45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1、商务</w:t>
            </w:r>
          </w:p>
        </w:tc>
        <w:tc>
          <w:tcPr>
            <w:tcW w:w="46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8"/>
                <w:szCs w:val="28"/>
              </w:rPr>
            </w:pPr>
            <w:r>
              <w:rPr>
                <w:rFonts w:hint="eastAsia" w:ascii="仿宋_GB2312" w:hAnsi="仿宋_GB2312" w:cs="仿宋_GB2312"/>
                <w:sz w:val="28"/>
                <w:szCs w:val="28"/>
                <w:lang w:val="en-US" w:eastAsia="zh-CN"/>
              </w:rPr>
              <w:t>20</w:t>
            </w:r>
            <w:r>
              <w:rPr>
                <w:rFonts w:hint="eastAsia" w:ascii="仿宋_GB2312" w:hAnsi="仿宋_GB2312" w:eastAsia="仿宋_GB2312" w:cs="仿宋_GB2312"/>
                <w:sz w:val="28"/>
                <w:szCs w:val="28"/>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45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2、技术</w:t>
            </w:r>
          </w:p>
        </w:tc>
        <w:tc>
          <w:tcPr>
            <w:tcW w:w="46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8"/>
                <w:szCs w:val="28"/>
              </w:rPr>
            </w:pPr>
            <w:r>
              <w:rPr>
                <w:rFonts w:hint="eastAsia" w:ascii="仿宋_GB2312" w:hAnsi="仿宋_GB2312" w:cs="仿宋_GB2312"/>
                <w:sz w:val="28"/>
                <w:szCs w:val="28"/>
                <w:lang w:val="en-US" w:eastAsia="zh-CN"/>
              </w:rPr>
              <w:t>50</w:t>
            </w:r>
            <w:r>
              <w:rPr>
                <w:rFonts w:hint="eastAsia" w:ascii="仿宋_GB2312" w:hAnsi="仿宋_GB2312" w:eastAsia="仿宋_GB2312" w:cs="仿宋_GB2312"/>
                <w:sz w:val="28"/>
                <w:szCs w:val="28"/>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45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3、价格</w:t>
            </w:r>
          </w:p>
        </w:tc>
        <w:tc>
          <w:tcPr>
            <w:tcW w:w="46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8"/>
                <w:szCs w:val="28"/>
              </w:rPr>
            </w:pPr>
            <w:r>
              <w:rPr>
                <w:rFonts w:hint="eastAsia" w:ascii="仿宋_GB2312" w:hAnsi="仿宋_GB2312" w:cs="仿宋_GB2312"/>
                <w:sz w:val="28"/>
                <w:szCs w:val="28"/>
                <w:lang w:val="en-US" w:eastAsia="zh-CN"/>
              </w:rPr>
              <w:t>30</w:t>
            </w:r>
            <w:r>
              <w:rPr>
                <w:rFonts w:hint="eastAsia" w:ascii="仿宋_GB2312" w:hAnsi="仿宋_GB2312" w:eastAsia="仿宋_GB2312" w:cs="仿宋_GB2312"/>
                <w:sz w:val="28"/>
                <w:szCs w:val="28"/>
              </w:rPr>
              <w:t>分</w:t>
            </w:r>
          </w:p>
        </w:tc>
      </w:tr>
    </w:tbl>
    <w:p>
      <w:pPr>
        <w:keepNext w:val="0"/>
        <w:keepLines w:val="0"/>
        <w:pageBreakBefore w:val="0"/>
        <w:widowControl w:val="0"/>
        <w:tabs>
          <w:tab w:val="left" w:pos="1570"/>
        </w:tabs>
        <w:kinsoku/>
        <w:wordWrap/>
        <w:overflowPunct/>
        <w:topLinePunct w:val="0"/>
        <w:autoSpaceDE/>
        <w:autoSpaceDN/>
        <w:bidi w:val="0"/>
        <w:adjustRightInd/>
        <w:snapToGrid/>
        <w:spacing w:line="400" w:lineRule="exact"/>
        <w:ind w:firstLine="600" w:firstLineChars="200"/>
        <w:textAlignment w:val="auto"/>
        <w:rPr>
          <w:rFonts w:hint="eastAsia" w:ascii="仿宋_GB2312" w:hAnsi="仿宋_GB2312" w:eastAsia="仿宋_GB2312" w:cs="仿宋_GB2312"/>
          <w:bCs/>
          <w:sz w:val="28"/>
          <w:szCs w:val="28"/>
        </w:rPr>
      </w:pPr>
    </w:p>
    <w:p>
      <w:pPr>
        <w:keepNext w:val="0"/>
        <w:keepLines w:val="0"/>
        <w:pageBreakBefore w:val="0"/>
        <w:widowControl w:val="0"/>
        <w:tabs>
          <w:tab w:val="left" w:pos="1570"/>
        </w:tabs>
        <w:kinsoku/>
        <w:wordWrap/>
        <w:overflowPunct/>
        <w:topLinePunct w:val="0"/>
        <w:autoSpaceDE/>
        <w:autoSpaceDN/>
        <w:bidi w:val="0"/>
        <w:adjustRightInd/>
        <w:snapToGrid/>
        <w:spacing w:line="400" w:lineRule="exact"/>
        <w:ind w:firstLine="60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二、评分因素分值的具体分配</w:t>
      </w:r>
    </w:p>
    <w:tbl>
      <w:tblPr>
        <w:tblStyle w:val="5"/>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470"/>
        <w:gridCol w:w="855"/>
        <w:gridCol w:w="1485"/>
        <w:gridCol w:w="4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65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评分因素</w:t>
            </w:r>
          </w:p>
        </w:tc>
        <w:tc>
          <w:tcPr>
            <w:tcW w:w="49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5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（一）商务</w:t>
            </w:r>
          </w:p>
        </w:tc>
        <w:tc>
          <w:tcPr>
            <w:tcW w:w="49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cs="仿宋_GB2312"/>
                <w:sz w:val="28"/>
                <w:szCs w:val="28"/>
                <w:lang w:val="en-US" w:eastAsia="zh-CN"/>
              </w:rPr>
              <w:t>0</w:t>
            </w:r>
            <w:r>
              <w:rPr>
                <w:rFonts w:hint="eastAsia" w:ascii="仿宋_GB2312" w:hAnsi="仿宋_GB2312" w:eastAsia="仿宋_GB2312" w:cs="仿宋_GB2312"/>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评分项目</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分值</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评分方式</w:t>
            </w:r>
          </w:p>
        </w:tc>
        <w:tc>
          <w:tcPr>
            <w:tcW w:w="49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8"/>
                <w:szCs w:val="28"/>
              </w:rPr>
            </w:pPr>
            <w:r>
              <w:rPr>
                <w:rFonts w:hint="eastAsia" w:ascii="仿宋" w:hAnsi="仿宋" w:eastAsia="仿宋"/>
                <w:sz w:val="28"/>
                <w:szCs w:val="28"/>
              </w:rPr>
              <w:t>1</w:t>
            </w: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8"/>
                <w:szCs w:val="28"/>
              </w:rPr>
            </w:pPr>
            <w:r>
              <w:rPr>
                <w:rFonts w:hint="eastAsia" w:ascii="仿宋" w:hAnsi="仿宋" w:eastAsia="仿宋"/>
                <w:sz w:val="28"/>
                <w:szCs w:val="28"/>
              </w:rPr>
              <w:t>团队实力</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8"/>
                <w:szCs w:val="28"/>
              </w:rPr>
            </w:pPr>
            <w:r>
              <w:rPr>
                <w:rFonts w:hint="eastAsia" w:ascii="仿宋" w:hAnsi="仿宋" w:eastAsia="仿宋"/>
                <w:sz w:val="28"/>
                <w:szCs w:val="28"/>
              </w:rPr>
              <w:t>10</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szCs w:val="28"/>
              </w:rPr>
            </w:pPr>
            <w:r>
              <w:rPr>
                <w:rFonts w:hint="eastAsia" w:ascii="仿宋" w:hAnsi="仿宋" w:eastAsia="仿宋"/>
                <w:sz w:val="28"/>
                <w:szCs w:val="28"/>
              </w:rPr>
              <w:t>评委</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8"/>
                <w:szCs w:val="28"/>
              </w:rPr>
            </w:pPr>
            <w:r>
              <w:rPr>
                <w:rFonts w:hint="eastAsia" w:ascii="仿宋" w:hAnsi="仿宋" w:eastAsia="仿宋"/>
                <w:sz w:val="28"/>
                <w:szCs w:val="28"/>
              </w:rPr>
              <w:t>评分</w:t>
            </w:r>
          </w:p>
        </w:tc>
        <w:tc>
          <w:tcPr>
            <w:tcW w:w="49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lang w:eastAsia="zh-CN"/>
              </w:rPr>
            </w:pPr>
            <w:r>
              <w:rPr>
                <w:rFonts w:hint="default" w:ascii="仿宋" w:hAnsi="仿宋" w:eastAsia="仿宋"/>
                <w:sz w:val="28"/>
                <w:szCs w:val="28"/>
                <w:lang w:val="en-US" w:eastAsia="zh-CN"/>
              </w:rPr>
              <w:t>本项目负责人担任过</w:t>
            </w:r>
            <w:r>
              <w:rPr>
                <w:rFonts w:hint="eastAsia" w:ascii="仿宋" w:hAnsi="仿宋" w:eastAsia="仿宋"/>
                <w:sz w:val="28"/>
                <w:szCs w:val="28"/>
              </w:rPr>
              <w:t>各级行政机关、事业单位</w:t>
            </w:r>
            <w:r>
              <w:rPr>
                <w:rFonts w:hint="eastAsia" w:ascii="仿宋" w:hAnsi="仿宋" w:eastAsia="仿宋"/>
                <w:sz w:val="28"/>
                <w:szCs w:val="28"/>
                <w:lang w:eastAsia="zh-CN"/>
              </w:rPr>
              <w:t>、</w:t>
            </w:r>
            <w:r>
              <w:rPr>
                <w:rFonts w:hint="eastAsia" w:ascii="仿宋" w:hAnsi="仿宋" w:eastAsia="仿宋"/>
                <w:sz w:val="28"/>
                <w:szCs w:val="28"/>
                <w:lang w:val="en-US" w:eastAsia="zh-CN"/>
              </w:rPr>
              <w:t>企业等法律</w:t>
            </w:r>
            <w:r>
              <w:rPr>
                <w:rFonts w:hint="eastAsia" w:ascii="仿宋" w:hAnsi="仿宋" w:eastAsia="仿宋"/>
                <w:sz w:val="28"/>
                <w:szCs w:val="28"/>
              </w:rPr>
              <w:t>服务项目</w:t>
            </w:r>
            <w:r>
              <w:rPr>
                <w:rFonts w:hint="default" w:ascii="仿宋" w:hAnsi="仿宋" w:eastAsia="仿宋"/>
                <w:sz w:val="28"/>
                <w:szCs w:val="28"/>
                <w:lang w:val="en-US" w:eastAsia="zh-CN"/>
              </w:rPr>
              <w:t>管理经验10年以上得10分</w:t>
            </w:r>
            <w:r>
              <w:rPr>
                <w:rFonts w:hint="eastAsia" w:ascii="仿宋" w:hAnsi="仿宋" w:eastAsia="仿宋"/>
                <w:sz w:val="28"/>
                <w:szCs w:val="28"/>
                <w:lang w:val="en-US" w:eastAsia="zh-CN"/>
              </w:rPr>
              <w:t>；</w:t>
            </w:r>
            <w:r>
              <w:rPr>
                <w:rFonts w:hint="default" w:ascii="仿宋" w:hAnsi="仿宋" w:eastAsia="仿宋"/>
                <w:sz w:val="28"/>
                <w:szCs w:val="28"/>
                <w:lang w:val="en-US" w:eastAsia="zh-CN"/>
              </w:rPr>
              <w:t>5年以上得5分；</w:t>
            </w:r>
            <w:r>
              <w:rPr>
                <w:rFonts w:hint="eastAsia" w:ascii="仿宋" w:hAnsi="仿宋" w:eastAsia="仿宋"/>
                <w:sz w:val="28"/>
                <w:szCs w:val="28"/>
                <w:lang w:val="en-US" w:eastAsia="zh-CN"/>
              </w:rPr>
              <w:t>其他情况不得分。</w:t>
            </w:r>
            <w:r>
              <w:rPr>
                <w:rFonts w:hint="default" w:ascii="仿宋" w:hAnsi="仿宋" w:eastAsia="仿宋"/>
                <w:sz w:val="28"/>
                <w:szCs w:val="28"/>
                <w:lang w:val="en-US" w:eastAsia="zh-CN"/>
              </w:rPr>
              <w:t>证明文件：投标人须提供相关有效业绩的合同关键页（证明文件中须清晰体现项目签订时间、项目金额、项目内容等）复印件加盖投标人公章</w:t>
            </w:r>
            <w:r>
              <w:rPr>
                <w:rFonts w:hint="eastAsia" w:ascii="仿宋" w:hAnsi="仿宋" w:eastAsia="仿宋"/>
                <w:sz w:val="28"/>
                <w:szCs w:val="28"/>
                <w:lang w:val="en-US" w:eastAsia="zh-CN"/>
              </w:rPr>
              <w:t>，未提供不得分</w:t>
            </w:r>
            <w:r>
              <w:rPr>
                <w:rFonts w:hint="default" w:ascii="仿宋" w:hAnsi="仿宋" w:eastAsia="仿宋"/>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cs="仿宋_GB2312"/>
                <w:sz w:val="28"/>
                <w:szCs w:val="28"/>
                <w:lang w:val="en-US" w:eastAsia="zh-CN"/>
              </w:rPr>
              <w:t>2</w:t>
            </w: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处罚、处分情况</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评委</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评分</w:t>
            </w:r>
          </w:p>
        </w:tc>
        <w:tc>
          <w:tcPr>
            <w:tcW w:w="49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投标</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提供司法主管部门出具的近三年（201</w:t>
            </w:r>
            <w:r>
              <w:rPr>
                <w:rFonts w:hint="eastAsia" w:ascii="仿宋_GB2312" w:hAnsi="仿宋_GB2312" w:cs="仿宋_GB2312"/>
                <w:sz w:val="28"/>
                <w:szCs w:val="28"/>
                <w:lang w:val="en-US" w:eastAsia="zh-CN"/>
              </w:rPr>
              <w:t>8</w:t>
            </w:r>
            <w:r>
              <w:rPr>
                <w:rFonts w:hint="eastAsia" w:ascii="仿宋_GB2312" w:hAnsi="仿宋_GB2312" w:eastAsia="仿宋_GB2312" w:cs="仿宋_GB2312"/>
                <w:sz w:val="28"/>
                <w:szCs w:val="28"/>
              </w:rPr>
              <w:t>年、201</w:t>
            </w:r>
            <w:r>
              <w:rPr>
                <w:rFonts w:hint="eastAsia" w:ascii="仿宋_GB2312" w:hAnsi="仿宋_GB2312" w:cs="仿宋_GB2312"/>
                <w:sz w:val="28"/>
                <w:szCs w:val="28"/>
                <w:lang w:val="en-US" w:eastAsia="zh-CN"/>
              </w:rPr>
              <w:t>9</w:t>
            </w:r>
            <w:r>
              <w:rPr>
                <w:rFonts w:hint="eastAsia" w:ascii="仿宋_GB2312" w:hAnsi="仿宋_GB2312" w:eastAsia="仿宋_GB2312" w:cs="仿宋_GB2312"/>
                <w:sz w:val="28"/>
                <w:szCs w:val="28"/>
              </w:rPr>
              <w:t>年、20</w:t>
            </w:r>
            <w:r>
              <w:rPr>
                <w:rFonts w:hint="eastAsia" w:ascii="仿宋_GB2312" w:hAnsi="仿宋_GB2312" w:cs="仿宋_GB2312"/>
                <w:sz w:val="28"/>
                <w:szCs w:val="28"/>
                <w:lang w:val="en-US" w:eastAsia="zh-CN"/>
              </w:rPr>
              <w:t>20</w:t>
            </w:r>
            <w:r>
              <w:rPr>
                <w:rFonts w:hint="eastAsia" w:ascii="仿宋_GB2312" w:hAnsi="仿宋_GB2312" w:eastAsia="仿宋_GB2312" w:cs="仿宋_GB2312"/>
                <w:sz w:val="28"/>
                <w:szCs w:val="28"/>
              </w:rPr>
              <w:t>年）无处罚证明以及律所所在地律师协会出具的近三年无行业处分证明，得5分。未提供证明或提供的证明存在处罚或处分记录等情形的，不得分。(提供相关证明扫描件，原件备查)。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3</w:t>
            </w: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 w:hAnsi="仿宋" w:eastAsia="仿宋"/>
                <w:sz w:val="28"/>
                <w:szCs w:val="28"/>
                <w:lang w:eastAsia="zh-CN"/>
              </w:rPr>
              <w:t>诚信承诺</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 w:hAnsi="仿宋" w:eastAsia="仿宋"/>
                <w:sz w:val="28"/>
                <w:szCs w:val="28"/>
                <w:lang w:val="en-US" w:eastAsia="zh-CN"/>
              </w:rPr>
              <w:t>5</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szCs w:val="28"/>
              </w:rPr>
            </w:pPr>
            <w:r>
              <w:rPr>
                <w:rFonts w:hint="eastAsia" w:ascii="仿宋" w:hAnsi="仿宋" w:eastAsia="仿宋"/>
                <w:sz w:val="28"/>
                <w:szCs w:val="28"/>
              </w:rPr>
              <w:t>评委</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 w:hAnsi="仿宋" w:eastAsia="仿宋"/>
                <w:sz w:val="28"/>
                <w:szCs w:val="28"/>
              </w:rPr>
              <w:t>评分</w:t>
            </w:r>
          </w:p>
        </w:tc>
        <w:tc>
          <w:tcPr>
            <w:tcW w:w="49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rPr>
            </w:pPr>
            <w:r>
              <w:rPr>
                <w:rFonts w:hint="eastAsia" w:ascii="仿宋" w:hAnsi="仿宋" w:eastAsia="仿宋"/>
                <w:sz w:val="28"/>
                <w:szCs w:val="28"/>
                <w:lang w:val="en-US" w:eastAsia="zh-CN"/>
              </w:rPr>
              <w:t>根</w:t>
            </w:r>
            <w:r>
              <w:rPr>
                <w:rFonts w:hint="eastAsia" w:ascii="仿宋" w:hAnsi="仿宋" w:eastAsia="仿宋"/>
                <w:sz w:val="28"/>
                <w:szCs w:val="28"/>
              </w:rPr>
              <w:t>据《深圳市政府采购投标人诚信管理暂行办法》相关规定，投标人在参与政府采购活动中出现诚信相关问题且在相关主管部门处理措施实施期限内的本项不得分，否则得</w:t>
            </w:r>
            <w:r>
              <w:rPr>
                <w:rFonts w:hint="eastAsia" w:ascii="仿宋" w:hAnsi="仿宋" w:eastAsia="仿宋"/>
                <w:sz w:val="28"/>
                <w:szCs w:val="28"/>
                <w:lang w:val="en-US" w:eastAsia="zh-CN"/>
              </w:rPr>
              <w:t>5</w:t>
            </w:r>
            <w:r>
              <w:rPr>
                <w:rFonts w:hint="eastAsia" w:ascii="仿宋" w:hAnsi="仿宋" w:eastAsia="仿宋"/>
                <w:sz w:val="28"/>
                <w:szCs w:val="28"/>
              </w:rPr>
              <w:t>分。（须提供《诚信承诺函》，按招标文件格式要求提供，不提供不得分。如被认定提供的陈述与事实不符的，依法追究其责任。）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65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（二）技术</w:t>
            </w:r>
          </w:p>
        </w:tc>
        <w:tc>
          <w:tcPr>
            <w:tcW w:w="49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8"/>
                <w:szCs w:val="28"/>
              </w:rPr>
            </w:pPr>
            <w:r>
              <w:rPr>
                <w:rFonts w:hint="eastAsia" w:ascii="仿宋_GB2312" w:hAnsi="仿宋_GB2312" w:cs="仿宋_GB2312"/>
                <w:sz w:val="28"/>
                <w:szCs w:val="28"/>
                <w:lang w:val="en-US" w:eastAsia="zh-CN"/>
              </w:rPr>
              <w:t>50</w:t>
            </w:r>
            <w:r>
              <w:rPr>
                <w:rFonts w:hint="eastAsia" w:ascii="仿宋_GB2312" w:hAnsi="仿宋_GB2312" w:eastAsia="仿宋_GB2312" w:cs="仿宋_GB2312"/>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评分项目</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分值</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评分方式</w:t>
            </w:r>
          </w:p>
        </w:tc>
        <w:tc>
          <w:tcPr>
            <w:tcW w:w="49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对项目的认识和分析</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20</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评委</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评分</w:t>
            </w:r>
          </w:p>
        </w:tc>
        <w:tc>
          <w:tcPr>
            <w:tcW w:w="49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提供对服务项目工作的认识与分析、对应措施及建议、相关政策解读</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进行横向比较和评价。分档评分：评价为优得</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分；评价为良得</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分；评价为中得</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分；评价</w:t>
            </w:r>
            <w:r>
              <w:rPr>
                <w:rFonts w:hint="eastAsia" w:ascii="仿宋_GB2312" w:hAnsi="仿宋_GB2312" w:eastAsia="仿宋_GB2312" w:cs="仿宋_GB2312"/>
                <w:sz w:val="28"/>
                <w:szCs w:val="28"/>
                <w:lang w:val="en-US" w:eastAsia="zh-CN"/>
              </w:rPr>
              <w:t>为差不</w:t>
            </w:r>
            <w:r>
              <w:rPr>
                <w:rFonts w:hint="eastAsia" w:ascii="仿宋_GB2312" w:hAnsi="仿宋_GB2312" w:eastAsia="仿宋_GB2312" w:cs="仿宋_GB2312"/>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项目实施方案</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20</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评委</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评分</w:t>
            </w:r>
          </w:p>
        </w:tc>
        <w:tc>
          <w:tcPr>
            <w:tcW w:w="49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28"/>
                <w:szCs w:val="28"/>
              </w:rPr>
            </w:pPr>
            <w:r>
              <w:rPr>
                <w:rFonts w:hint="eastAsia" w:ascii="仿宋" w:hAnsi="仿宋" w:eastAsia="仿宋"/>
                <w:sz w:val="28"/>
                <w:szCs w:val="28"/>
              </w:rPr>
              <w:t>根据提供的本项目的方案、工作流程等是否详细、考虑全面、人员管理考核是否完善、可操作性强等进行横向比较和评价。分档评分：评价为优得</w:t>
            </w:r>
            <w:r>
              <w:rPr>
                <w:rFonts w:hint="eastAsia" w:ascii="仿宋" w:hAnsi="仿宋" w:eastAsia="仿宋"/>
                <w:sz w:val="28"/>
                <w:szCs w:val="28"/>
                <w:lang w:val="en-US" w:eastAsia="zh-CN"/>
              </w:rPr>
              <w:t>20</w:t>
            </w:r>
            <w:r>
              <w:rPr>
                <w:rFonts w:hint="eastAsia" w:ascii="仿宋" w:hAnsi="仿宋" w:eastAsia="仿宋"/>
                <w:sz w:val="28"/>
                <w:szCs w:val="28"/>
              </w:rPr>
              <w:t>分；评价为良得</w:t>
            </w:r>
            <w:r>
              <w:rPr>
                <w:rFonts w:hint="eastAsia" w:ascii="仿宋" w:hAnsi="仿宋" w:eastAsia="仿宋"/>
                <w:sz w:val="28"/>
                <w:szCs w:val="28"/>
                <w:lang w:val="en-US" w:eastAsia="zh-CN"/>
              </w:rPr>
              <w:t>15</w:t>
            </w:r>
            <w:r>
              <w:rPr>
                <w:rFonts w:hint="eastAsia" w:ascii="仿宋" w:hAnsi="仿宋" w:eastAsia="仿宋"/>
                <w:sz w:val="28"/>
                <w:szCs w:val="28"/>
              </w:rPr>
              <w:t>分；评价为中得</w:t>
            </w:r>
            <w:r>
              <w:rPr>
                <w:rFonts w:hint="eastAsia" w:ascii="仿宋" w:hAnsi="仿宋" w:eastAsia="仿宋"/>
                <w:sz w:val="28"/>
                <w:szCs w:val="28"/>
                <w:lang w:val="en-US" w:eastAsia="zh-CN"/>
              </w:rPr>
              <w:t>10</w:t>
            </w:r>
            <w:r>
              <w:rPr>
                <w:rFonts w:hint="eastAsia" w:ascii="仿宋" w:hAnsi="仿宋" w:eastAsia="仿宋"/>
                <w:sz w:val="28"/>
                <w:szCs w:val="28"/>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8"/>
                <w:szCs w:val="28"/>
              </w:rPr>
            </w:pPr>
            <w:r>
              <w:rPr>
                <w:rFonts w:hint="eastAsia" w:ascii="仿宋" w:hAnsi="仿宋" w:eastAsia="仿宋"/>
                <w:sz w:val="28"/>
                <w:szCs w:val="28"/>
                <w:lang w:val="en-US" w:eastAsia="zh-CN"/>
              </w:rPr>
              <w:t>3</w:t>
            </w: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8"/>
                <w:szCs w:val="28"/>
              </w:rPr>
            </w:pPr>
            <w:r>
              <w:rPr>
                <w:rFonts w:hint="eastAsia" w:ascii="仿宋" w:hAnsi="仿宋" w:eastAsia="仿宋"/>
                <w:sz w:val="28"/>
                <w:szCs w:val="28"/>
              </w:rPr>
              <w:t>同类项目业绩</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8"/>
                <w:szCs w:val="28"/>
              </w:rPr>
            </w:pPr>
            <w:r>
              <w:rPr>
                <w:rFonts w:hint="eastAsia" w:ascii="仿宋" w:hAnsi="仿宋" w:eastAsia="仿宋"/>
                <w:sz w:val="28"/>
                <w:szCs w:val="28"/>
              </w:rPr>
              <w:t>10</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szCs w:val="28"/>
              </w:rPr>
            </w:pPr>
            <w:r>
              <w:rPr>
                <w:rFonts w:hint="eastAsia" w:ascii="仿宋" w:hAnsi="仿宋" w:eastAsia="仿宋"/>
                <w:sz w:val="28"/>
                <w:szCs w:val="28"/>
              </w:rPr>
              <w:t>评委</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8"/>
                <w:szCs w:val="28"/>
              </w:rPr>
            </w:pPr>
            <w:r>
              <w:rPr>
                <w:rFonts w:hint="eastAsia" w:ascii="仿宋" w:hAnsi="仿宋" w:eastAsia="仿宋"/>
                <w:sz w:val="28"/>
                <w:szCs w:val="28"/>
              </w:rPr>
              <w:t>评分</w:t>
            </w:r>
          </w:p>
        </w:tc>
        <w:tc>
          <w:tcPr>
            <w:tcW w:w="49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仿宋_GB2312" w:hAnsi="仿宋_GB2312" w:eastAsia="仿宋_GB2312" w:cs="仿宋_GB2312"/>
                <w:sz w:val="28"/>
                <w:szCs w:val="28"/>
              </w:rPr>
            </w:pPr>
            <w:r>
              <w:rPr>
                <w:rFonts w:hint="eastAsia" w:ascii="仿宋" w:hAnsi="仿宋" w:eastAsia="仿宋"/>
                <w:sz w:val="28"/>
                <w:szCs w:val="28"/>
              </w:rPr>
              <w:t>近三年投标</w:t>
            </w:r>
            <w:r>
              <w:rPr>
                <w:rFonts w:hint="eastAsia" w:ascii="仿宋" w:hAnsi="仿宋" w:eastAsia="仿宋"/>
                <w:sz w:val="28"/>
                <w:szCs w:val="28"/>
                <w:lang w:val="en-US" w:eastAsia="zh-CN"/>
              </w:rPr>
              <w:t>单位</w:t>
            </w:r>
            <w:r>
              <w:rPr>
                <w:rFonts w:hint="eastAsia" w:ascii="仿宋" w:hAnsi="仿宋" w:eastAsia="仿宋"/>
                <w:sz w:val="28"/>
                <w:szCs w:val="28"/>
              </w:rPr>
              <w:t>曾经承担过的各级行政机关、事业单位</w:t>
            </w:r>
            <w:r>
              <w:rPr>
                <w:rFonts w:hint="eastAsia" w:ascii="仿宋" w:hAnsi="仿宋" w:eastAsia="仿宋"/>
                <w:sz w:val="28"/>
                <w:szCs w:val="28"/>
                <w:lang w:eastAsia="zh-CN"/>
              </w:rPr>
              <w:t>、</w:t>
            </w:r>
            <w:r>
              <w:rPr>
                <w:rFonts w:hint="eastAsia" w:ascii="仿宋" w:hAnsi="仿宋" w:eastAsia="仿宋"/>
                <w:sz w:val="28"/>
                <w:szCs w:val="28"/>
                <w:lang w:val="en-US" w:eastAsia="zh-CN"/>
              </w:rPr>
              <w:t>企业等法律</w:t>
            </w:r>
            <w:r>
              <w:rPr>
                <w:rFonts w:hint="eastAsia" w:ascii="仿宋" w:hAnsi="仿宋" w:eastAsia="仿宋"/>
                <w:sz w:val="28"/>
                <w:szCs w:val="28"/>
              </w:rPr>
              <w:t>服务项目，每提供一项得2分，最高不超过10分。（投标人须提供中标通知书或合同关键页的复印件加盖公章，原件备查。）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465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（三）价格</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（客观分，计算方式为：最低报价 / 投标报价*</w:t>
            </w:r>
            <w:r>
              <w:rPr>
                <w:rFonts w:hint="eastAsia" w:ascii="仿宋_GB2312" w:hAnsi="仿宋_GB2312" w:cs="仿宋_GB2312"/>
                <w:sz w:val="28"/>
                <w:szCs w:val="28"/>
                <w:lang w:val="en-US" w:eastAsia="zh-CN"/>
              </w:rPr>
              <w:t>30</w:t>
            </w:r>
            <w:r>
              <w:rPr>
                <w:rFonts w:hint="eastAsia" w:ascii="仿宋_GB2312" w:hAnsi="仿宋_GB2312" w:eastAsia="仿宋_GB2312" w:cs="仿宋_GB2312"/>
                <w:sz w:val="28"/>
                <w:szCs w:val="28"/>
              </w:rPr>
              <w:t>）；</w:t>
            </w:r>
          </w:p>
        </w:tc>
        <w:tc>
          <w:tcPr>
            <w:tcW w:w="49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8"/>
                <w:szCs w:val="28"/>
              </w:rPr>
            </w:pPr>
            <w:r>
              <w:rPr>
                <w:rFonts w:hint="eastAsia" w:ascii="仿宋_GB2312" w:hAnsi="仿宋_GB2312" w:cs="仿宋_GB2312"/>
                <w:sz w:val="28"/>
                <w:szCs w:val="28"/>
                <w:lang w:val="en-US" w:eastAsia="zh-CN"/>
              </w:rPr>
              <w:t>30</w:t>
            </w:r>
            <w:r>
              <w:rPr>
                <w:rFonts w:hint="eastAsia" w:ascii="仿宋_GB2312" w:hAnsi="仿宋_GB2312" w:eastAsia="仿宋_GB2312" w:cs="仿宋_GB2312"/>
                <w:sz w:val="28"/>
                <w:szCs w:val="28"/>
              </w:rPr>
              <w:t>分</w:t>
            </w:r>
          </w:p>
        </w:tc>
      </w:tr>
    </w:tbl>
    <w:p>
      <w:pPr>
        <w:rPr>
          <w:rFonts w:hint="eastAsia" w:ascii="黑体" w:hAnsi="宋体" w:eastAsia="黑体" w:cs="黑体"/>
          <w:sz w:val="32"/>
          <w:szCs w:val="32"/>
        </w:rPr>
      </w:pPr>
      <w:r>
        <w:rPr>
          <w:rFonts w:hint="eastAsia" w:ascii="黑体" w:hAnsi="宋体" w:eastAsia="黑体" w:cs="黑体"/>
          <w:sz w:val="32"/>
          <w:szCs w:val="32"/>
        </w:rPr>
        <w:br w:type="page"/>
      </w:r>
    </w:p>
    <w:p/>
    <w:sectPr>
      <w:footerReference r:id="rId3" w:type="default"/>
      <w:footerReference r:id="rId4" w:type="even"/>
      <w:pgSz w:w="11906" w:h="16838"/>
      <w:pgMar w:top="2098" w:right="1587" w:bottom="153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Batang">
    <w:altName w:val="Adobe Myungjo Std M"/>
    <w:panose1 w:val="02030600000101010101"/>
    <w:charset w:val="81"/>
    <w:family w:val="roman"/>
    <w:pitch w:val="default"/>
    <w:sig w:usb0="00000000" w:usb1="00000000" w:usb2="00000030" w:usb3="00000000" w:csb0="4008009F" w:csb1="DFD70000"/>
  </w:font>
  <w:font w:name="Adobe Myungjo Std M">
    <w:panose1 w:val="02020600000000000000"/>
    <w:charset w:val="80"/>
    <w:family w:val="auto"/>
    <w:pitch w:val="default"/>
    <w:sig w:usb0="00000001" w:usb1="21D72C10" w:usb2="00000010" w:usb3="00000000" w:csb0="602A0005" w:csb1="00000000"/>
  </w:font>
  <w:font w:name="Adobe Myungjo Std M">
    <w:panose1 w:val="02020600000000000000"/>
    <w:charset w:val="81"/>
    <w:family w:val="roman"/>
    <w:pitch w:val="default"/>
    <w:sig w:usb0="00000001" w:usb1="21D72C10" w:usb2="00000010" w:usb3="00000000" w:csb0="6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- 15 -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- 15 -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216" w:wrap="around" w:vAnchor="text" w:hAnchor="page" w:x="1906" w:y="-368"/>
      <w:rPr>
        <w:rStyle w:val="7"/>
        <w:rFonts w:ascii="Batang" w:hAnsi="Batang" w:eastAsia="Batang"/>
        <w:sz w:val="28"/>
        <w:szCs w:val="28"/>
      </w:rPr>
    </w:pPr>
    <w:r>
      <w:rPr>
        <w:rStyle w:val="7"/>
        <w:rFonts w:hint="eastAsia" w:ascii="Batang" w:hAnsi="Batang" w:eastAsia="Batang"/>
        <w:sz w:val="28"/>
        <w:szCs w:val="28"/>
      </w:rPr>
      <w:t>—</w:t>
    </w:r>
    <w:r>
      <w:rPr>
        <w:rStyle w:val="7"/>
        <w:rFonts w:hint="eastAsia" w:ascii="Batang" w:hAnsi="Batang" w:eastAsia="Batang"/>
        <w:sz w:val="10"/>
        <w:szCs w:val="10"/>
      </w:rPr>
      <w:t>　</w:t>
    </w:r>
    <w:r>
      <w:rPr>
        <w:rFonts w:ascii="Batang" w:hAnsi="Batang" w:eastAsia="Batang"/>
        <w:sz w:val="28"/>
        <w:szCs w:val="28"/>
      </w:rPr>
      <w:fldChar w:fldCharType="begin"/>
    </w:r>
    <w:r>
      <w:rPr>
        <w:rStyle w:val="7"/>
        <w:rFonts w:ascii="Batang" w:hAnsi="Batang" w:eastAsia="Batang"/>
        <w:sz w:val="28"/>
        <w:szCs w:val="28"/>
      </w:rPr>
      <w:instrText xml:space="preserve">PAGE  </w:instrText>
    </w:r>
    <w:r>
      <w:rPr>
        <w:rFonts w:ascii="Batang" w:hAnsi="Batang" w:eastAsia="Batang"/>
        <w:sz w:val="28"/>
        <w:szCs w:val="28"/>
      </w:rPr>
      <w:fldChar w:fldCharType="separate"/>
    </w:r>
    <w:r>
      <w:rPr>
        <w:rStyle w:val="7"/>
        <w:rFonts w:ascii="Batang" w:hAnsi="Batang" w:eastAsia="Batang"/>
        <w:sz w:val="28"/>
        <w:szCs w:val="28"/>
      </w:rPr>
      <w:t>2</w:t>
    </w:r>
    <w:r>
      <w:rPr>
        <w:rFonts w:ascii="Batang" w:hAnsi="Batang" w:eastAsia="Batang"/>
        <w:sz w:val="28"/>
        <w:szCs w:val="28"/>
      </w:rPr>
      <w:fldChar w:fldCharType="end"/>
    </w:r>
    <w:r>
      <w:rPr>
        <w:rStyle w:val="7"/>
        <w:rFonts w:hint="eastAsia" w:ascii="Batang" w:hAnsi="Batang" w:eastAsia="Batang"/>
        <w:sz w:val="10"/>
        <w:szCs w:val="10"/>
      </w:rPr>
      <w:t>　</w:t>
    </w:r>
    <w:r>
      <w:rPr>
        <w:rStyle w:val="7"/>
        <w:rFonts w:hint="eastAsia" w:ascii="Batang" w:hAnsi="Batang" w:eastAsia="Batang"/>
        <w:sz w:val="28"/>
        <w:szCs w:val="28"/>
      </w:rPr>
      <w:t>—</w:t>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3C2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pacing w:val="10"/>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before="100" w:beforeAutospacing="1"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spacing w:val="0"/>
      <w:kern w:val="0"/>
      <w:sz w:val="24"/>
    </w:rPr>
  </w:style>
  <w:style w:type="character" w:styleId="7">
    <w:name w:val="page number"/>
    <w:basedOn w:val="6"/>
    <w:qFormat/>
    <w:uiPriority w:val="0"/>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2021-03-10T06:08:45Z</dcterms:created>
  <dc:creator>Administrator</dc:creator>
  <cp:lastModifiedBy>Darcya</cp:lastModifiedBy>
  <dcterms:modified xsi:type="dcterms:W3CDTF">2021-03-10T06:10:01Z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