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80" w:lineRule="exact"/>
        <w:rPr>
          <w:rFonts w:ascii="黑体" w:hAnsi="黑体" w:eastAsia="黑体" w:cs="黑体"/>
          <w:color w:val="000000"/>
          <w:sz w:val="32"/>
          <w:szCs w:val="32"/>
        </w:rPr>
      </w:pPr>
      <w:r>
        <w:rPr>
          <w:rFonts w:hint="eastAsia" w:ascii="黑体" w:hAnsi="黑体" w:eastAsia="黑体" w:cs="黑体"/>
          <w:color w:val="000000"/>
          <w:sz w:val="32"/>
          <w:szCs w:val="32"/>
        </w:rPr>
        <w:t>附件1</w:t>
      </w:r>
    </w:p>
    <w:p>
      <w:pPr>
        <w:spacing w:line="580" w:lineRule="exact"/>
        <w:rPr>
          <w:rFonts w:ascii="仿宋_GB2312" w:hAnsi="仿宋_GB2312" w:eastAsia="仿宋_GB2312" w:cs="仿宋_GB2312"/>
          <w:color w:val="000000"/>
          <w:sz w:val="32"/>
          <w:szCs w:val="32"/>
        </w:rPr>
      </w:pPr>
    </w:p>
    <w:p>
      <w:pPr>
        <w:spacing w:line="720" w:lineRule="exact"/>
        <w:jc w:val="center"/>
        <w:rPr>
          <w:rFonts w:ascii="仿宋_GB2312" w:hAnsi="仿宋_GB2312" w:eastAsia="方正小标宋简体" w:cs="仿宋_GB2312"/>
          <w:kern w:val="0"/>
          <w:szCs w:val="32"/>
        </w:rPr>
      </w:pPr>
      <w:r>
        <w:rPr>
          <w:rFonts w:hint="eastAsia" w:ascii="方正小标宋简体" w:hAnsi="方正小标宋简体" w:eastAsia="方正小标宋简体" w:cs="方正小标宋简体"/>
          <w:kern w:val="0"/>
          <w:sz w:val="44"/>
          <w:szCs w:val="44"/>
        </w:rPr>
        <w:t>深圳市退役军人事务局固定资产管理服务项目综合评分表</w:t>
      </w:r>
    </w:p>
    <w:p>
      <w:pPr>
        <w:spacing w:line="560" w:lineRule="exact"/>
        <w:ind w:firstLine="420" w:firstLineChars="200"/>
        <w:rPr>
          <w:rFonts w:ascii="仿宋_GB2312" w:hAnsi="仿宋_GB2312" w:cs="仿宋_GB2312"/>
          <w:kern w:val="0"/>
          <w:szCs w:val="32"/>
        </w:rPr>
      </w:pPr>
    </w:p>
    <w:p>
      <w:pPr>
        <w:spacing w:line="560" w:lineRule="exact"/>
        <w:ind w:firstLine="640" w:firstLineChars="200"/>
        <w:rPr>
          <w:rFonts w:ascii="仿宋_GB2312" w:hAnsi="仿宋_GB2312" w:cs="仿宋_GB2312"/>
          <w:kern w:val="0"/>
          <w:szCs w:val="32"/>
        </w:rPr>
      </w:pPr>
      <w:r>
        <w:rPr>
          <w:rFonts w:hint="eastAsia" w:ascii="仿宋_GB2312" w:hAnsi="仿宋_GB2312" w:eastAsia="仿宋_GB2312" w:cs="仿宋_GB2312"/>
          <w:color w:val="000000"/>
          <w:sz w:val="32"/>
          <w:szCs w:val="32"/>
          <w:shd w:val="clear" w:color="auto" w:fill="FFFFFF"/>
        </w:rPr>
        <w:t>评标方法为综合评分法，具体评分标准和规则为：从商务、技术、疫情防控和价格四个部分评分因素由评标小组进行综合评分</w:t>
      </w:r>
      <w:r>
        <w:rPr>
          <w:rFonts w:hint="eastAsia" w:ascii="仿宋_GB2312" w:hAnsi="仿宋_GB2312" w:eastAsia="仿宋_GB2312" w:cs="仿宋_GB2312"/>
          <w:kern w:val="0"/>
          <w:sz w:val="32"/>
          <w:szCs w:val="32"/>
        </w:rPr>
        <w:t>。</w:t>
      </w:r>
      <w:r>
        <w:rPr>
          <w:rFonts w:hint="eastAsia" w:ascii="仿宋_GB2312" w:hAnsi="仿宋_GB2312" w:cs="仿宋_GB2312"/>
          <w:kern w:val="0"/>
          <w:szCs w:val="32"/>
        </w:rPr>
        <w:t xml:space="preserve"> </w:t>
      </w:r>
    </w:p>
    <w:p>
      <w:pPr>
        <w:tabs>
          <w:tab w:val="left" w:pos="1570"/>
        </w:tabs>
        <w:spacing w:line="400" w:lineRule="atLeast"/>
        <w:ind w:firstLine="560" w:firstLineChars="200"/>
      </w:pPr>
      <w:r>
        <w:rPr>
          <w:rFonts w:hint="eastAsia" w:ascii="仿宋" w:hAnsi="仿宋" w:eastAsia="仿宋"/>
          <w:bCs/>
          <w:sz w:val="28"/>
          <w:szCs w:val="28"/>
        </w:rPr>
        <w:t>一、评分因素及分值</w:t>
      </w:r>
    </w:p>
    <w:tbl>
      <w:tblPr>
        <w:tblStyle w:val="3"/>
        <w:tblW w:w="87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4589"/>
        <w:gridCol w:w="415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79" w:hRule="atLeast"/>
          <w:jc w:val="center"/>
        </w:trPr>
        <w:tc>
          <w:tcPr>
            <w:tcW w:w="4589" w:type="dxa"/>
            <w:vAlign w:val="center"/>
          </w:tcPr>
          <w:p>
            <w:pPr>
              <w:spacing w:line="400" w:lineRule="atLeast"/>
              <w:jc w:val="center"/>
              <w:rPr>
                <w:rFonts w:ascii="仿宋" w:hAnsi="仿宋" w:eastAsia="仿宋"/>
                <w:b/>
                <w:sz w:val="24"/>
              </w:rPr>
            </w:pPr>
            <w:r>
              <w:rPr>
                <w:rFonts w:hint="eastAsia" w:ascii="仿宋" w:hAnsi="仿宋" w:eastAsia="仿宋"/>
                <w:b/>
                <w:sz w:val="24"/>
              </w:rPr>
              <w:t>评分因素</w:t>
            </w:r>
          </w:p>
        </w:tc>
        <w:tc>
          <w:tcPr>
            <w:tcW w:w="4151" w:type="dxa"/>
            <w:vAlign w:val="center"/>
          </w:tcPr>
          <w:p>
            <w:pPr>
              <w:spacing w:line="400" w:lineRule="atLeast"/>
              <w:jc w:val="center"/>
              <w:rPr>
                <w:rFonts w:ascii="仿宋" w:hAnsi="仿宋" w:eastAsia="仿宋"/>
                <w:b/>
                <w:sz w:val="24"/>
              </w:rPr>
            </w:pPr>
            <w:r>
              <w:rPr>
                <w:rFonts w:hint="eastAsia" w:ascii="仿宋" w:hAnsi="仿宋" w:eastAsia="仿宋"/>
                <w:b/>
                <w:sz w:val="24"/>
              </w:rPr>
              <w:t>分值</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4589" w:type="dxa"/>
            <w:vAlign w:val="center"/>
          </w:tcPr>
          <w:p>
            <w:pPr>
              <w:spacing w:line="400" w:lineRule="atLeast"/>
              <w:jc w:val="center"/>
              <w:rPr>
                <w:rFonts w:ascii="仿宋" w:hAnsi="仿宋" w:eastAsia="仿宋"/>
                <w:sz w:val="24"/>
              </w:rPr>
            </w:pPr>
            <w:r>
              <w:rPr>
                <w:rFonts w:hint="eastAsia" w:ascii="仿宋" w:hAnsi="仿宋" w:eastAsia="仿宋"/>
                <w:sz w:val="24"/>
              </w:rPr>
              <w:t>1、技术部分</w:t>
            </w:r>
          </w:p>
        </w:tc>
        <w:tc>
          <w:tcPr>
            <w:tcW w:w="4151" w:type="dxa"/>
            <w:vAlign w:val="center"/>
          </w:tcPr>
          <w:p>
            <w:pPr>
              <w:spacing w:line="400" w:lineRule="atLeast"/>
              <w:jc w:val="center"/>
              <w:rPr>
                <w:rFonts w:ascii="仿宋" w:hAnsi="仿宋" w:eastAsia="仿宋"/>
                <w:sz w:val="24"/>
              </w:rPr>
            </w:pPr>
            <w:r>
              <w:rPr>
                <w:rFonts w:hint="eastAsia" w:ascii="仿宋" w:hAnsi="仿宋" w:eastAsia="仿宋"/>
                <w:sz w:val="24"/>
              </w:rPr>
              <w:t>45分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4" w:hRule="atLeast"/>
          <w:jc w:val="center"/>
        </w:trPr>
        <w:tc>
          <w:tcPr>
            <w:tcW w:w="4589" w:type="dxa"/>
            <w:vAlign w:val="center"/>
          </w:tcPr>
          <w:p>
            <w:pPr>
              <w:spacing w:line="400" w:lineRule="atLeast"/>
              <w:jc w:val="center"/>
              <w:rPr>
                <w:rFonts w:ascii="仿宋" w:hAnsi="仿宋" w:eastAsia="仿宋"/>
                <w:sz w:val="24"/>
              </w:rPr>
            </w:pPr>
            <w:r>
              <w:rPr>
                <w:rFonts w:hint="eastAsia" w:ascii="仿宋" w:hAnsi="仿宋" w:eastAsia="仿宋"/>
                <w:sz w:val="24"/>
              </w:rPr>
              <w:t>2、商务部分</w:t>
            </w:r>
          </w:p>
        </w:tc>
        <w:tc>
          <w:tcPr>
            <w:tcW w:w="4151" w:type="dxa"/>
            <w:vAlign w:val="center"/>
          </w:tcPr>
          <w:p>
            <w:pPr>
              <w:spacing w:line="400" w:lineRule="atLeast"/>
              <w:jc w:val="center"/>
              <w:rPr>
                <w:rFonts w:ascii="仿宋" w:hAnsi="仿宋" w:eastAsia="仿宋"/>
                <w:sz w:val="24"/>
              </w:rPr>
            </w:pPr>
            <w:r>
              <w:rPr>
                <w:rFonts w:hint="eastAsia" w:ascii="仿宋" w:hAnsi="仿宋" w:eastAsia="仿宋"/>
                <w:sz w:val="24"/>
              </w:rPr>
              <w:t>30分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4589" w:type="dxa"/>
            <w:vAlign w:val="center"/>
          </w:tcPr>
          <w:p>
            <w:pPr>
              <w:spacing w:line="400" w:lineRule="atLeast"/>
              <w:jc w:val="center"/>
              <w:rPr>
                <w:rFonts w:ascii="仿宋" w:hAnsi="仿宋" w:eastAsia="仿宋"/>
                <w:sz w:val="24"/>
              </w:rPr>
            </w:pPr>
            <w:r>
              <w:rPr>
                <w:rFonts w:hint="eastAsia" w:ascii="仿宋" w:hAnsi="仿宋" w:eastAsia="仿宋"/>
                <w:sz w:val="24"/>
              </w:rPr>
              <w:t>3、疫情防控</w:t>
            </w:r>
          </w:p>
        </w:tc>
        <w:tc>
          <w:tcPr>
            <w:tcW w:w="4151" w:type="dxa"/>
            <w:vAlign w:val="center"/>
          </w:tcPr>
          <w:p>
            <w:pPr>
              <w:spacing w:line="400" w:lineRule="atLeast"/>
              <w:jc w:val="center"/>
              <w:rPr>
                <w:rFonts w:ascii="仿宋" w:hAnsi="仿宋" w:eastAsia="仿宋"/>
                <w:sz w:val="24"/>
              </w:rPr>
            </w:pPr>
            <w:r>
              <w:rPr>
                <w:rFonts w:hint="eastAsia" w:ascii="仿宋" w:hAnsi="仿宋" w:eastAsia="仿宋"/>
                <w:sz w:val="24"/>
              </w:rPr>
              <w:t>5分</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93" w:hRule="atLeast"/>
          <w:jc w:val="center"/>
        </w:trPr>
        <w:tc>
          <w:tcPr>
            <w:tcW w:w="4589" w:type="dxa"/>
            <w:vAlign w:val="center"/>
          </w:tcPr>
          <w:p>
            <w:pPr>
              <w:spacing w:line="400" w:lineRule="atLeast"/>
              <w:jc w:val="center"/>
              <w:rPr>
                <w:rFonts w:ascii="仿宋" w:hAnsi="仿宋" w:eastAsia="仿宋"/>
                <w:sz w:val="24"/>
              </w:rPr>
            </w:pPr>
            <w:r>
              <w:rPr>
                <w:rFonts w:hint="eastAsia" w:ascii="仿宋" w:hAnsi="仿宋" w:eastAsia="仿宋"/>
                <w:sz w:val="24"/>
              </w:rPr>
              <w:t>4、价格部分</w:t>
            </w:r>
          </w:p>
        </w:tc>
        <w:tc>
          <w:tcPr>
            <w:tcW w:w="4151" w:type="dxa"/>
            <w:vAlign w:val="center"/>
          </w:tcPr>
          <w:p>
            <w:pPr>
              <w:spacing w:line="400" w:lineRule="atLeast"/>
              <w:jc w:val="center"/>
              <w:rPr>
                <w:rFonts w:ascii="仿宋" w:hAnsi="仿宋" w:eastAsia="仿宋"/>
                <w:sz w:val="24"/>
              </w:rPr>
            </w:pPr>
            <w:r>
              <w:rPr>
                <w:rFonts w:hint="eastAsia" w:ascii="仿宋" w:hAnsi="仿宋" w:eastAsia="仿宋"/>
                <w:sz w:val="24"/>
              </w:rPr>
              <w:t>20分</w:t>
            </w:r>
          </w:p>
        </w:tc>
      </w:tr>
    </w:tbl>
    <w:p>
      <w:pPr>
        <w:tabs>
          <w:tab w:val="left" w:pos="1570"/>
        </w:tabs>
        <w:ind w:firstLine="560" w:firstLineChars="200"/>
        <w:rPr>
          <w:rFonts w:ascii="仿宋" w:hAnsi="仿宋" w:eastAsia="仿宋"/>
          <w:bCs/>
          <w:sz w:val="28"/>
          <w:szCs w:val="28"/>
        </w:rPr>
      </w:pPr>
      <w:r>
        <w:rPr>
          <w:rFonts w:hint="eastAsia" w:ascii="仿宋" w:hAnsi="仿宋" w:eastAsia="仿宋"/>
          <w:bCs/>
          <w:sz w:val="28"/>
          <w:szCs w:val="28"/>
        </w:rPr>
        <w:t>二、评分因素分值的具体分</w:t>
      </w:r>
    </w:p>
    <w:tbl>
      <w:tblPr>
        <w:tblStyle w:val="3"/>
        <w:tblpPr w:leftFromText="180" w:rightFromText="180" w:vertAnchor="text" w:horzAnchor="page" w:tblpX="1578" w:tblpY="765"/>
        <w:tblOverlap w:val="never"/>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562"/>
        <w:gridCol w:w="857"/>
        <w:gridCol w:w="4679"/>
        <w:gridCol w:w="9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8"/>
              </w:rPr>
              <w:t>（一）技术部分</w:t>
            </w:r>
          </w:p>
        </w:tc>
        <w:tc>
          <w:tcPr>
            <w:tcW w:w="56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8"/>
              </w:rPr>
              <w:t>45分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序号</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评分项目</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分值</w:t>
            </w:r>
          </w:p>
        </w:tc>
        <w:tc>
          <w:tcPr>
            <w:tcW w:w="4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评分细则</w:t>
            </w: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34"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对服务内容和服务要求的理解的评价</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10</w:t>
            </w:r>
          </w:p>
        </w:tc>
        <w:tc>
          <w:tcPr>
            <w:tcW w:w="467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0"/>
              </w:rPr>
            </w:pPr>
            <w:r>
              <w:rPr>
                <w:rFonts w:hint="eastAsia" w:ascii="仿宋" w:hAnsi="仿宋" w:eastAsia="仿宋"/>
                <w:sz w:val="20"/>
              </w:rPr>
              <w:t>提供符合本项目服务特点的相关重点难点分析、应对措施及相关的合理化建议。</w:t>
            </w:r>
          </w:p>
          <w:p>
            <w:pPr>
              <w:numPr>
                <w:ilvl w:val="0"/>
                <w:numId w:val="1"/>
              </w:numPr>
              <w:jc w:val="left"/>
              <w:rPr>
                <w:rFonts w:ascii="仿宋" w:hAnsi="仿宋" w:eastAsia="仿宋"/>
                <w:sz w:val="20"/>
              </w:rPr>
            </w:pPr>
            <w:r>
              <w:rPr>
                <w:rFonts w:hint="eastAsia" w:ascii="仿宋" w:hAnsi="仿宋" w:eastAsia="仿宋"/>
                <w:sz w:val="20"/>
              </w:rPr>
              <w:t>项目重点难点分析、应对措施及相关的合理化建议内容全面、具体；</w:t>
            </w:r>
          </w:p>
          <w:p>
            <w:pPr>
              <w:jc w:val="left"/>
              <w:rPr>
                <w:rFonts w:ascii="仿宋" w:hAnsi="仿宋" w:eastAsia="仿宋"/>
                <w:sz w:val="20"/>
              </w:rPr>
            </w:pPr>
            <w:r>
              <w:rPr>
                <w:rFonts w:hint="eastAsia" w:ascii="仿宋" w:hAnsi="仿宋" w:eastAsia="仿宋"/>
                <w:sz w:val="20"/>
              </w:rPr>
              <w:t>（2）项目重点难点分析、应对措施及相关的合理化建议内容针对性强；</w:t>
            </w:r>
          </w:p>
          <w:p>
            <w:pPr>
              <w:jc w:val="left"/>
              <w:rPr>
                <w:rFonts w:ascii="仿宋" w:hAnsi="仿宋" w:eastAsia="仿宋"/>
                <w:sz w:val="20"/>
              </w:rPr>
            </w:pPr>
            <w:r>
              <w:rPr>
                <w:rFonts w:hint="eastAsia" w:ascii="仿宋" w:hAnsi="仿宋" w:eastAsia="仿宋"/>
                <w:sz w:val="20"/>
              </w:rPr>
              <w:t>（3）项目重点难点分析、应对措施及相关的合理化建议内容科学合理、可操作性强；</w:t>
            </w:r>
          </w:p>
          <w:p>
            <w:pPr>
              <w:jc w:val="left"/>
              <w:rPr>
                <w:rFonts w:ascii="仿宋" w:hAnsi="仿宋" w:eastAsia="仿宋" w:cs="宋体"/>
                <w:sz w:val="20"/>
                <w:szCs w:val="20"/>
              </w:rPr>
            </w:pPr>
            <w:r>
              <w:rPr>
                <w:rFonts w:hint="eastAsia" w:ascii="仿宋" w:hAnsi="仿宋" w:eastAsia="仿宋"/>
                <w:sz w:val="20"/>
              </w:rPr>
              <w:t>满足已上三项要求得10分，满足二项要求得6分，满足一项得2分，其他情况不得分。</w:t>
            </w:r>
          </w:p>
        </w:tc>
        <w:tc>
          <w:tcPr>
            <w:tcW w:w="92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6"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2</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项目服务方案（时间安排、人员安排、培训服务安排、质量控制制度等）</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10</w:t>
            </w:r>
          </w:p>
        </w:tc>
        <w:tc>
          <w:tcPr>
            <w:tcW w:w="467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sz w:val="20"/>
                <w:szCs w:val="20"/>
              </w:rPr>
            </w:pPr>
            <w:r>
              <w:rPr>
                <w:rFonts w:hint="eastAsia" w:ascii="仿宋" w:hAnsi="仿宋" w:eastAsia="仿宋" w:cs="宋体"/>
                <w:sz w:val="20"/>
                <w:szCs w:val="20"/>
              </w:rPr>
              <w:t>项目实施方案对时间安排、人员安排、培训服务安排、质量控制制度及相关的合理化建议等方面进行评审：</w:t>
            </w:r>
          </w:p>
          <w:p>
            <w:pPr>
              <w:jc w:val="left"/>
              <w:rPr>
                <w:rFonts w:ascii="仿宋" w:hAnsi="仿宋" w:eastAsia="仿宋" w:cs="宋体"/>
                <w:sz w:val="20"/>
                <w:szCs w:val="20"/>
              </w:rPr>
            </w:pPr>
            <w:r>
              <w:rPr>
                <w:rFonts w:hint="eastAsia" w:ascii="仿宋" w:hAnsi="仿宋" w:eastAsia="仿宋" w:cs="宋体"/>
                <w:sz w:val="20"/>
                <w:szCs w:val="20"/>
              </w:rPr>
              <w:t>（1）投标文件响应内容全面；</w:t>
            </w:r>
          </w:p>
          <w:p>
            <w:pPr>
              <w:jc w:val="left"/>
              <w:rPr>
                <w:rFonts w:ascii="仿宋" w:hAnsi="仿宋" w:eastAsia="仿宋" w:cs="宋体"/>
                <w:sz w:val="20"/>
                <w:szCs w:val="20"/>
              </w:rPr>
            </w:pPr>
            <w:r>
              <w:rPr>
                <w:rFonts w:hint="eastAsia" w:ascii="仿宋" w:hAnsi="仿宋" w:eastAsia="仿宋" w:cs="宋体"/>
                <w:sz w:val="20"/>
                <w:szCs w:val="20"/>
              </w:rPr>
              <w:t>（2）投标文件响应内容具体；</w:t>
            </w:r>
          </w:p>
          <w:p>
            <w:pPr>
              <w:jc w:val="left"/>
              <w:rPr>
                <w:rFonts w:ascii="仿宋" w:hAnsi="仿宋" w:eastAsia="仿宋" w:cs="宋体"/>
                <w:sz w:val="20"/>
                <w:szCs w:val="20"/>
              </w:rPr>
            </w:pPr>
            <w:r>
              <w:rPr>
                <w:rFonts w:hint="eastAsia" w:ascii="仿宋" w:hAnsi="仿宋" w:eastAsia="仿宋" w:cs="宋体"/>
                <w:sz w:val="20"/>
                <w:szCs w:val="20"/>
              </w:rPr>
              <w:t>（3）投标文件响应内容针对性强；</w:t>
            </w:r>
          </w:p>
          <w:p>
            <w:pPr>
              <w:jc w:val="left"/>
              <w:rPr>
                <w:rFonts w:ascii="仿宋" w:hAnsi="仿宋" w:eastAsia="仿宋" w:cs="宋体"/>
                <w:sz w:val="20"/>
                <w:szCs w:val="20"/>
              </w:rPr>
            </w:pPr>
            <w:r>
              <w:rPr>
                <w:rFonts w:hint="eastAsia" w:ascii="仿宋" w:hAnsi="仿宋" w:eastAsia="仿宋" w:cs="宋体"/>
                <w:sz w:val="20"/>
                <w:szCs w:val="20"/>
              </w:rPr>
              <w:t>（4）投标文件响应内容科学合理；</w:t>
            </w:r>
          </w:p>
          <w:p>
            <w:pPr>
              <w:jc w:val="left"/>
              <w:rPr>
                <w:rFonts w:ascii="仿宋" w:hAnsi="仿宋" w:eastAsia="仿宋" w:cs="宋体"/>
                <w:sz w:val="20"/>
                <w:szCs w:val="20"/>
              </w:rPr>
            </w:pPr>
            <w:r>
              <w:rPr>
                <w:rFonts w:hint="eastAsia" w:ascii="仿宋" w:hAnsi="仿宋" w:eastAsia="仿宋" w:cs="宋体"/>
                <w:sz w:val="20"/>
                <w:szCs w:val="20"/>
              </w:rPr>
              <w:t>（5）投标文件响应内容可操作性强。</w:t>
            </w:r>
          </w:p>
          <w:p>
            <w:pPr>
              <w:jc w:val="left"/>
            </w:pPr>
            <w:r>
              <w:rPr>
                <w:rFonts w:hint="eastAsia" w:ascii="仿宋" w:hAnsi="仿宋" w:eastAsia="仿宋" w:cs="宋体"/>
                <w:sz w:val="20"/>
                <w:szCs w:val="20"/>
              </w:rPr>
              <w:t>满足以上五项要求的评价为优得10分；满足以上四项要求的评价为良得6分；满足以上三项要求的评价为中得4分；其他情况为差得0分。</w:t>
            </w:r>
          </w:p>
        </w:tc>
        <w:tc>
          <w:tcPr>
            <w:tcW w:w="92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66"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3</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cs="仿宋"/>
                <w:sz w:val="20"/>
                <w:szCs w:val="20"/>
              </w:rPr>
              <w:t>团队能力</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10</w:t>
            </w:r>
          </w:p>
        </w:tc>
        <w:tc>
          <w:tcPr>
            <w:tcW w:w="467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0"/>
                <w:szCs w:val="20"/>
              </w:rPr>
            </w:pPr>
            <w:r>
              <w:rPr>
                <w:rFonts w:hint="eastAsia" w:ascii="仿宋" w:hAnsi="仿宋" w:eastAsia="仿宋" w:cs="仿宋"/>
                <w:sz w:val="20"/>
                <w:szCs w:val="20"/>
              </w:rPr>
              <w:t>招标项目团队人员（除团队负责人）组成及学历、经验、能力评价：</w:t>
            </w:r>
          </w:p>
          <w:p>
            <w:pPr>
              <w:jc w:val="left"/>
              <w:rPr>
                <w:rFonts w:ascii="仿宋" w:hAnsi="仿宋" w:eastAsia="仿宋" w:cs="仿宋"/>
                <w:sz w:val="20"/>
                <w:szCs w:val="20"/>
              </w:rPr>
            </w:pPr>
            <w:r>
              <w:rPr>
                <w:rFonts w:hint="eastAsia" w:ascii="仿宋" w:hAnsi="仿宋" w:eastAsia="仿宋" w:cs="仿宋"/>
                <w:sz w:val="20"/>
                <w:szCs w:val="20"/>
              </w:rPr>
              <w:t>（1）承接或者参与过政府单位或大型国企项目工作。</w:t>
            </w:r>
          </w:p>
          <w:p>
            <w:pPr>
              <w:jc w:val="left"/>
              <w:rPr>
                <w:rFonts w:ascii="仿宋" w:hAnsi="仿宋" w:eastAsia="仿宋" w:cs="仿宋"/>
                <w:sz w:val="20"/>
                <w:szCs w:val="20"/>
              </w:rPr>
            </w:pPr>
            <w:r>
              <w:rPr>
                <w:rFonts w:hint="eastAsia" w:ascii="仿宋" w:hAnsi="仿宋" w:eastAsia="仿宋" w:cs="仿宋"/>
                <w:sz w:val="20"/>
                <w:szCs w:val="20"/>
              </w:rPr>
              <w:t>（2）具有会计师及以上资质人员。</w:t>
            </w:r>
          </w:p>
          <w:p>
            <w:pPr>
              <w:jc w:val="left"/>
              <w:rPr>
                <w:rFonts w:ascii="仿宋" w:hAnsi="仿宋" w:eastAsia="仿宋" w:cs="仿宋"/>
                <w:sz w:val="20"/>
                <w:szCs w:val="20"/>
              </w:rPr>
            </w:pPr>
            <w:r>
              <w:rPr>
                <w:rFonts w:hint="eastAsia" w:ascii="仿宋" w:hAnsi="仿宋" w:eastAsia="仿宋" w:cs="仿宋"/>
                <w:sz w:val="20"/>
                <w:szCs w:val="20"/>
              </w:rPr>
              <w:t>（3）具有5年以上财会工作经验。</w:t>
            </w:r>
          </w:p>
          <w:p>
            <w:pPr>
              <w:jc w:val="left"/>
              <w:rPr>
                <w:rFonts w:ascii="仿宋" w:hAnsi="仿宋" w:eastAsia="仿宋"/>
                <w:sz w:val="28"/>
              </w:rPr>
            </w:pPr>
            <w:r>
              <w:rPr>
                <w:rFonts w:hint="eastAsia" w:ascii="仿宋" w:hAnsi="仿宋" w:eastAsia="仿宋" w:cs="仿宋"/>
                <w:sz w:val="20"/>
                <w:szCs w:val="20"/>
              </w:rPr>
              <w:t>满足以上三项要求的评价为优得10分；满足以上二项要求的评价为良得6分；满足以上一项要求的评价为中得4分；其他情况为差得0分。</w:t>
            </w:r>
          </w:p>
        </w:tc>
        <w:tc>
          <w:tcPr>
            <w:tcW w:w="92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07"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4</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服务人员综合素质和经验评价</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10</w:t>
            </w:r>
          </w:p>
        </w:tc>
        <w:tc>
          <w:tcPr>
            <w:tcW w:w="4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rPr>
            </w:pPr>
            <w:r>
              <w:rPr>
                <w:rFonts w:hint="eastAsia" w:ascii="仿宋" w:hAnsi="仿宋" w:eastAsia="仿宋" w:cs="仿宋"/>
                <w:sz w:val="20"/>
                <w:szCs w:val="20"/>
              </w:rPr>
              <w:t>投标人中标后必须提供3名资产管理工作人员，其中1名派驻市退役军人事务局，人员组成及学历、经验、能力评价：</w:t>
            </w:r>
          </w:p>
          <w:p>
            <w:pPr>
              <w:rPr>
                <w:rFonts w:ascii="仿宋" w:hAnsi="仿宋" w:eastAsia="仿宋" w:cs="仿宋"/>
                <w:sz w:val="20"/>
                <w:szCs w:val="20"/>
              </w:rPr>
            </w:pPr>
            <w:r>
              <w:rPr>
                <w:rFonts w:hint="eastAsia" w:ascii="仿宋" w:hAnsi="仿宋" w:eastAsia="仿宋" w:cs="仿宋"/>
                <w:sz w:val="20"/>
                <w:szCs w:val="20"/>
              </w:rPr>
              <w:t>（1）在会计师事务所从事财会职业3年以上。</w:t>
            </w:r>
          </w:p>
          <w:p>
            <w:pPr>
              <w:rPr>
                <w:rFonts w:ascii="仿宋" w:hAnsi="仿宋" w:eastAsia="仿宋" w:cs="仿宋"/>
                <w:sz w:val="20"/>
                <w:szCs w:val="20"/>
              </w:rPr>
            </w:pPr>
            <w:r>
              <w:rPr>
                <w:rFonts w:hint="eastAsia" w:ascii="仿宋" w:hAnsi="仿宋" w:eastAsia="仿宋" w:cs="仿宋"/>
                <w:sz w:val="20"/>
                <w:szCs w:val="20"/>
              </w:rPr>
              <w:t>（2）一名财会从业经验二十年及以上人员。</w:t>
            </w:r>
          </w:p>
          <w:p>
            <w:pPr>
              <w:rPr>
                <w:rFonts w:ascii="仿宋" w:hAnsi="仿宋" w:eastAsia="仿宋" w:cs="仿宋"/>
                <w:sz w:val="20"/>
                <w:szCs w:val="20"/>
              </w:rPr>
            </w:pPr>
            <w:r>
              <w:rPr>
                <w:rFonts w:hint="eastAsia" w:ascii="仿宋" w:hAnsi="仿宋" w:eastAsia="仿宋" w:cs="仿宋"/>
                <w:sz w:val="20"/>
                <w:szCs w:val="20"/>
              </w:rPr>
              <w:t>（3）具有会计师及以上资质人员。</w:t>
            </w:r>
          </w:p>
          <w:p>
            <w:pPr>
              <w:rPr>
                <w:rFonts w:ascii="仿宋" w:hAnsi="仿宋" w:eastAsia="仿宋" w:cs="仿宋"/>
                <w:sz w:val="20"/>
                <w:szCs w:val="20"/>
              </w:rPr>
            </w:pPr>
            <w:r>
              <w:rPr>
                <w:rFonts w:hint="eastAsia" w:ascii="仿宋" w:hAnsi="仿宋" w:eastAsia="仿宋" w:cs="仿宋"/>
                <w:sz w:val="20"/>
                <w:szCs w:val="20"/>
              </w:rPr>
              <w:t>（4）自愿专职从事单位安排的资产管理事务及相关行政事务工作。</w:t>
            </w:r>
          </w:p>
          <w:p>
            <w:pPr>
              <w:rPr>
                <w:rFonts w:ascii="仿宋" w:hAnsi="仿宋" w:eastAsia="仿宋"/>
                <w:sz w:val="20"/>
              </w:rPr>
            </w:pPr>
            <w:r>
              <w:rPr>
                <w:rFonts w:hint="eastAsia" w:ascii="仿宋" w:hAnsi="仿宋" w:eastAsia="仿宋" w:cs="仿宋"/>
                <w:sz w:val="20"/>
                <w:szCs w:val="20"/>
              </w:rPr>
              <w:t>满足以上四项要求的评价为优得10分；满足以上三项要求的评价为良得6分；满足以上二项要求的评价为中得4分；其他情况为差得0分。</w:t>
            </w:r>
          </w:p>
        </w:tc>
        <w:tc>
          <w:tcPr>
            <w:tcW w:w="92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5</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本地化服务</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5</w:t>
            </w:r>
          </w:p>
        </w:tc>
        <w:tc>
          <w:tcPr>
            <w:tcW w:w="467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rPr>
            </w:pPr>
            <w:r>
              <w:rPr>
                <w:rFonts w:hint="eastAsia" w:ascii="仿宋" w:hAnsi="仿宋" w:eastAsia="仿宋" w:cs="仿宋"/>
                <w:sz w:val="20"/>
                <w:szCs w:val="20"/>
              </w:rPr>
              <w:t>评分标准：</w:t>
            </w:r>
          </w:p>
          <w:p>
            <w:pPr>
              <w:rPr>
                <w:rFonts w:ascii="仿宋" w:hAnsi="仿宋" w:eastAsia="仿宋" w:cs="仿宋"/>
                <w:sz w:val="20"/>
                <w:szCs w:val="20"/>
              </w:rPr>
            </w:pPr>
            <w:r>
              <w:rPr>
                <w:rFonts w:hint="eastAsia" w:ascii="仿宋" w:hAnsi="仿宋" w:eastAsia="仿宋" w:cs="仿宋"/>
                <w:sz w:val="20"/>
                <w:szCs w:val="20"/>
              </w:rPr>
              <w:t>1、投标单位注册地址在深圳市的单位得满分5分；</w:t>
            </w:r>
          </w:p>
          <w:p>
            <w:pPr>
              <w:rPr>
                <w:rFonts w:ascii="仿宋" w:hAnsi="仿宋" w:eastAsia="仿宋" w:cs="仿宋"/>
                <w:sz w:val="20"/>
                <w:szCs w:val="20"/>
              </w:rPr>
            </w:pPr>
            <w:r>
              <w:rPr>
                <w:rFonts w:hint="eastAsia" w:ascii="仿宋" w:hAnsi="仿宋" w:eastAsia="仿宋" w:cs="仿宋"/>
                <w:sz w:val="20"/>
                <w:szCs w:val="20"/>
              </w:rPr>
              <w:t>2、投标单位注册地址在广东省的单位得分2分；</w:t>
            </w:r>
          </w:p>
          <w:p>
            <w:pPr>
              <w:rPr>
                <w:rFonts w:ascii="仿宋" w:hAnsi="仿宋" w:eastAsia="仿宋" w:cs="宋体"/>
                <w:sz w:val="20"/>
                <w:szCs w:val="20"/>
              </w:rPr>
            </w:pPr>
            <w:r>
              <w:rPr>
                <w:rFonts w:hint="eastAsia" w:ascii="仿宋" w:hAnsi="仿宋" w:eastAsia="仿宋" w:cs="仿宋"/>
                <w:sz w:val="20"/>
                <w:szCs w:val="20"/>
              </w:rPr>
              <w:t>3、其他情况不得分；</w:t>
            </w:r>
          </w:p>
        </w:tc>
        <w:tc>
          <w:tcPr>
            <w:tcW w:w="92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8"/>
              </w:rPr>
              <w:t>（二）商务部分</w:t>
            </w:r>
          </w:p>
        </w:tc>
        <w:tc>
          <w:tcPr>
            <w:tcW w:w="56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8"/>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序号</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评分项目</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分值</w:t>
            </w:r>
          </w:p>
        </w:tc>
        <w:tc>
          <w:tcPr>
            <w:tcW w:w="4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评分细则</w:t>
            </w: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行业资历</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cs="Times New Roman"/>
                <w:sz w:val="20"/>
              </w:rPr>
              <w:t>10</w:t>
            </w:r>
          </w:p>
        </w:tc>
        <w:tc>
          <w:tcPr>
            <w:tcW w:w="4679" w:type="dxa"/>
            <w:tcBorders>
              <w:top w:val="single" w:color="auto" w:sz="4" w:space="0"/>
              <w:left w:val="single" w:color="auto" w:sz="4" w:space="0"/>
              <w:bottom w:val="single" w:color="auto" w:sz="4" w:space="0"/>
              <w:right w:val="single" w:color="auto" w:sz="4" w:space="0"/>
            </w:tcBorders>
          </w:tcPr>
          <w:p>
            <w:pPr>
              <w:rPr>
                <w:rFonts w:ascii="仿宋" w:hAnsi="仿宋" w:eastAsia="仿宋"/>
                <w:sz w:val="20"/>
              </w:rPr>
            </w:pPr>
            <w:r>
              <w:rPr>
                <w:rFonts w:hint="eastAsia" w:ascii="仿宋" w:hAnsi="仿宋" w:eastAsia="仿宋" w:cs="仿宋"/>
                <w:sz w:val="20"/>
                <w:szCs w:val="20"/>
              </w:rPr>
              <w:t>属于深圳市注册会计师协会发布的《深圳市2018年度广东省深圳市会计师事务所综合评价指标得分前50名》的单位得满分10分；指标得分51-70名得6分，指标得分71-90名得5分，指标得分91-100名得4分，其余不得分。（需提供排名查询网页链接，排名网页截图）</w:t>
            </w:r>
          </w:p>
        </w:tc>
        <w:tc>
          <w:tcPr>
            <w:tcW w:w="92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8"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2</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cs="Times New Roman"/>
                <w:sz w:val="20"/>
              </w:rPr>
              <w:t>相关资质证明</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cs="Times New Roman"/>
                <w:sz w:val="20"/>
              </w:rPr>
              <w:t>10</w:t>
            </w:r>
          </w:p>
        </w:tc>
        <w:tc>
          <w:tcPr>
            <w:tcW w:w="4679" w:type="dxa"/>
            <w:tcBorders>
              <w:top w:val="single" w:color="auto" w:sz="4" w:space="0"/>
              <w:left w:val="single" w:color="auto" w:sz="4" w:space="0"/>
              <w:bottom w:val="single" w:color="auto" w:sz="4" w:space="0"/>
              <w:right w:val="single" w:color="auto" w:sz="4" w:space="0"/>
            </w:tcBorders>
          </w:tcPr>
          <w:p>
            <w:pPr>
              <w:rPr>
                <w:rFonts w:ascii="仿宋" w:hAnsi="仿宋" w:eastAsia="仿宋"/>
                <w:sz w:val="20"/>
              </w:rPr>
            </w:pPr>
            <w:r>
              <w:rPr>
                <w:rFonts w:hint="eastAsia" w:ascii="仿宋" w:hAnsi="仿宋" w:eastAsia="仿宋" w:cs="仿宋"/>
                <w:sz w:val="20"/>
                <w:szCs w:val="20"/>
              </w:rPr>
              <w:t>获得政府部门或行业协会颁发的关于财会、审计业务领域的资质证明；每获得1项得2分，总分不超过10分。（需提供相关证明材料）</w:t>
            </w:r>
          </w:p>
        </w:tc>
        <w:tc>
          <w:tcPr>
            <w:tcW w:w="92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0"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3</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同类项目业绩</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10</w:t>
            </w:r>
          </w:p>
        </w:tc>
        <w:tc>
          <w:tcPr>
            <w:tcW w:w="4679" w:type="dxa"/>
            <w:tcBorders>
              <w:top w:val="single" w:color="auto" w:sz="4" w:space="0"/>
              <w:left w:val="single" w:color="auto" w:sz="4" w:space="0"/>
              <w:bottom w:val="single" w:color="auto" w:sz="4" w:space="0"/>
              <w:right w:val="single" w:color="auto" w:sz="4" w:space="0"/>
            </w:tcBorders>
          </w:tcPr>
          <w:p>
            <w:pPr>
              <w:numPr>
                <w:ilvl w:val="255"/>
                <w:numId w:val="0"/>
              </w:numPr>
              <w:rPr>
                <w:rFonts w:ascii="仿宋" w:hAnsi="仿宋" w:eastAsia="仿宋" w:cs="仿宋"/>
                <w:sz w:val="20"/>
                <w:szCs w:val="20"/>
              </w:rPr>
            </w:pPr>
            <w:r>
              <w:rPr>
                <w:rFonts w:hint="eastAsia" w:ascii="仿宋" w:hAnsi="仿宋" w:eastAsia="仿宋" w:cs="仿宋"/>
                <w:sz w:val="20"/>
                <w:szCs w:val="20"/>
              </w:rPr>
              <w:t>投标人在深圳市范围内有不同业主近两年（时间范围从本项目招标报价文件发布开始时间倒推），投标人承办过3次或以上的（同一业主只算一个），得10分；投标人承办过1次的（同一业主只算一个），得5分；投标人承办过0次的（同一业主只算一个），得0分。</w:t>
            </w:r>
          </w:p>
          <w:p>
            <w:pPr>
              <w:rPr>
                <w:rFonts w:ascii="仿宋" w:hAnsi="仿宋" w:eastAsia="仿宋" w:cs="仿宋"/>
                <w:sz w:val="20"/>
                <w:szCs w:val="20"/>
              </w:rPr>
            </w:pPr>
            <w:r>
              <w:rPr>
                <w:rFonts w:hint="eastAsia" w:ascii="仿宋" w:hAnsi="仿宋" w:eastAsia="仿宋" w:cs="仿宋"/>
                <w:sz w:val="20"/>
                <w:szCs w:val="20"/>
              </w:rPr>
              <w:t>证明文件：投标人须提供相关有效业绩的合同关键页或中标通知书（证明文件中须清晰体现项目签订时间、项目金额、项目内容等）复印件加盖投标人公章。</w:t>
            </w:r>
          </w:p>
        </w:tc>
        <w:tc>
          <w:tcPr>
            <w:tcW w:w="929"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cs="Times New Roman"/>
                <w:sz w:val="28"/>
              </w:rPr>
              <w:t>（三）疫情防控</w:t>
            </w:r>
          </w:p>
        </w:tc>
        <w:tc>
          <w:tcPr>
            <w:tcW w:w="56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0"/>
                <w:szCs w:val="20"/>
              </w:rPr>
            </w:pPr>
            <w:r>
              <w:rPr>
                <w:rFonts w:hint="eastAsia" w:ascii="仿宋" w:hAnsi="仿宋" w:eastAsia="仿宋" w:cs="Times New Roman"/>
                <w:sz w:val="28"/>
              </w:rPr>
              <w:t>5分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序号</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内容</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权重</w:t>
            </w:r>
          </w:p>
        </w:tc>
        <w:tc>
          <w:tcPr>
            <w:tcW w:w="4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评分规则</w:t>
            </w:r>
          </w:p>
        </w:tc>
        <w:tc>
          <w:tcPr>
            <w:tcW w:w="92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1</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疫情防控</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cs="仿宋"/>
                <w:sz w:val="20"/>
                <w:szCs w:val="20"/>
              </w:rPr>
            </w:pPr>
            <w:r>
              <w:rPr>
                <w:rFonts w:hint="eastAsia" w:ascii="仿宋" w:hAnsi="仿宋" w:eastAsia="仿宋" w:cs="仿宋"/>
                <w:sz w:val="20"/>
                <w:szCs w:val="20"/>
              </w:rPr>
              <w:t>5</w:t>
            </w:r>
          </w:p>
        </w:tc>
        <w:tc>
          <w:tcPr>
            <w:tcW w:w="4679" w:type="dxa"/>
            <w:tcBorders>
              <w:top w:val="single" w:color="auto" w:sz="4" w:space="0"/>
              <w:left w:val="single" w:color="auto" w:sz="4" w:space="0"/>
              <w:bottom w:val="single" w:color="auto" w:sz="4" w:space="0"/>
              <w:right w:val="single" w:color="auto" w:sz="4" w:space="0"/>
            </w:tcBorders>
            <w:vAlign w:val="center"/>
          </w:tcPr>
          <w:p>
            <w:pPr>
              <w:numPr>
                <w:ilvl w:val="255"/>
                <w:numId w:val="0"/>
              </w:numPr>
              <w:jc w:val="left"/>
              <w:rPr>
                <w:rFonts w:ascii="仿宋" w:hAnsi="仿宋" w:eastAsia="仿宋" w:cs="仿宋"/>
                <w:sz w:val="20"/>
                <w:szCs w:val="20"/>
              </w:rPr>
            </w:pPr>
            <w:r>
              <w:rPr>
                <w:rFonts w:hint="eastAsia" w:ascii="仿宋" w:hAnsi="仿宋" w:eastAsia="仿宋" w:cs="仿宋"/>
                <w:sz w:val="20"/>
                <w:szCs w:val="20"/>
              </w:rPr>
              <w:t>1、疫情防控重点企业评分。</w:t>
            </w:r>
          </w:p>
          <w:p>
            <w:pPr>
              <w:rPr>
                <w:rFonts w:ascii="仿宋" w:hAnsi="仿宋" w:eastAsia="仿宋" w:cs="仿宋"/>
                <w:sz w:val="20"/>
                <w:szCs w:val="20"/>
              </w:rPr>
            </w:pPr>
            <w:r>
              <w:rPr>
                <w:rFonts w:hint="eastAsia" w:ascii="仿宋" w:hAnsi="仿宋" w:eastAsia="仿宋" w:cs="仿宋"/>
                <w:sz w:val="20"/>
                <w:szCs w:val="20"/>
              </w:rPr>
              <w:t>纳入全国性名单或地方性名单的疫情防控重点保障企业，直接参与我市政府采购投标的，提供至少一项自身属于重点保障企业的证明材料（名单查询网页链接、名单网页截图、政府部门出具的文件或企业享受重点保障企业优惠政策的其他证明文件均可），得3分。</w:t>
            </w:r>
          </w:p>
          <w:p>
            <w:pPr>
              <w:rPr>
                <w:rFonts w:ascii="仿宋" w:hAnsi="仿宋" w:eastAsia="仿宋" w:cs="仿宋"/>
                <w:sz w:val="20"/>
                <w:szCs w:val="20"/>
              </w:rPr>
            </w:pPr>
            <w:r>
              <w:rPr>
                <w:rFonts w:hint="eastAsia" w:ascii="仿宋" w:hAnsi="仿宋" w:eastAsia="仿宋" w:cs="仿宋"/>
                <w:sz w:val="20"/>
                <w:szCs w:val="20"/>
              </w:rPr>
              <w:t>2、稳岗企业评分。</w:t>
            </w:r>
          </w:p>
          <w:p>
            <w:pPr>
              <w:rPr>
                <w:rFonts w:ascii="仿宋" w:hAnsi="仿宋" w:eastAsia="仿宋" w:cs="仿宋"/>
                <w:sz w:val="20"/>
                <w:szCs w:val="20"/>
              </w:rPr>
            </w:pPr>
            <w:r>
              <w:rPr>
                <w:rFonts w:hint="eastAsia" w:ascii="仿宋" w:hAnsi="仿宋" w:eastAsia="仿宋" w:cs="仿宋"/>
                <w:sz w:val="20"/>
                <w:szCs w:val="20"/>
              </w:rPr>
              <w:t>未裁员或裁员率低于20%的企业，即投标前一个月实际参加社会保险（至少包括养老保险）的员工人数（含免缴</w:t>
            </w:r>
            <w:r>
              <w:rPr>
                <w:rFonts w:hint="eastAsia" w:ascii="仿宋" w:hAnsi="仿宋" w:eastAsia="仿宋" w:cs="仿宋"/>
                <w:sz w:val="20"/>
                <w:szCs w:val="20"/>
                <w:lang w:val="en-US" w:eastAsia="zh-CN"/>
              </w:rPr>
              <w:t>或</w:t>
            </w:r>
            <w:r>
              <w:rPr>
                <w:rFonts w:hint="eastAsia" w:ascii="仿宋" w:hAnsi="仿宋" w:eastAsia="仿宋" w:cs="仿宋"/>
                <w:sz w:val="20"/>
                <w:szCs w:val="20"/>
              </w:rPr>
              <w:t>延期</w:t>
            </w:r>
            <w:r>
              <w:rPr>
                <w:rFonts w:hint="eastAsia" w:ascii="仿宋" w:hAnsi="仿宋" w:eastAsia="仿宋" w:cs="仿宋"/>
                <w:sz w:val="20"/>
                <w:szCs w:val="20"/>
                <w:lang w:val="en-US" w:eastAsia="zh-CN"/>
              </w:rPr>
              <w:t>缴纳</w:t>
            </w:r>
            <w:bookmarkStart w:id="0" w:name="_GoBack"/>
            <w:bookmarkEnd w:id="0"/>
            <w:r>
              <w:rPr>
                <w:rFonts w:hint="eastAsia" w:ascii="仿宋" w:hAnsi="仿宋" w:eastAsia="仿宋" w:cs="仿宋"/>
                <w:sz w:val="20"/>
                <w:szCs w:val="20"/>
              </w:rPr>
              <w:t>社会保险人数）不低于2019年12月同口径人数80%（含）的企业。提供自身符合稳岗企业条件的承诺函，得2分。</w:t>
            </w:r>
            <w:r>
              <w:rPr>
                <w:rFonts w:hint="eastAsia" w:ascii="仿宋" w:hAnsi="仿宋" w:eastAsia="仿宋" w:cs="仿宋"/>
                <w:sz w:val="20"/>
                <w:szCs w:val="20"/>
              </w:rPr>
              <w:br w:type="textWrapping"/>
            </w:r>
            <w:r>
              <w:rPr>
                <w:rFonts w:hint="eastAsia" w:ascii="仿宋" w:hAnsi="仿宋" w:eastAsia="仿宋" w:cs="仿宋"/>
                <w:sz w:val="20"/>
                <w:szCs w:val="20"/>
              </w:rPr>
              <w:t>3、其他情况不得分。</w:t>
            </w:r>
          </w:p>
        </w:tc>
        <w:tc>
          <w:tcPr>
            <w:tcW w:w="929"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8"/>
              </w:rPr>
              <w:t>（四）价格部分</w:t>
            </w:r>
          </w:p>
        </w:tc>
        <w:tc>
          <w:tcPr>
            <w:tcW w:w="560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rPr>
            </w:pPr>
            <w:r>
              <w:rPr>
                <w:rFonts w:hint="eastAsia" w:ascii="仿宋" w:hAnsi="仿宋" w:eastAsia="仿宋"/>
                <w:sz w:val="28"/>
              </w:rPr>
              <w:t>20分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序号</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评分项目</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分值</w:t>
            </w:r>
          </w:p>
        </w:tc>
        <w:tc>
          <w:tcPr>
            <w:tcW w:w="467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评分细则</w:t>
            </w:r>
          </w:p>
        </w:tc>
        <w:tc>
          <w:tcPr>
            <w:tcW w:w="929"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8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1</w:t>
            </w:r>
          </w:p>
        </w:tc>
        <w:tc>
          <w:tcPr>
            <w:tcW w:w="15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报价得分</w:t>
            </w:r>
          </w:p>
        </w:tc>
        <w:tc>
          <w:tcPr>
            <w:tcW w:w="8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20</w:t>
            </w:r>
          </w:p>
        </w:tc>
        <w:tc>
          <w:tcPr>
            <w:tcW w:w="4679"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sz w:val="28"/>
              </w:rPr>
            </w:pPr>
            <w:r>
              <w:rPr>
                <w:rFonts w:hint="eastAsia" w:ascii="仿宋" w:hAnsi="仿宋" w:eastAsia="仿宋"/>
                <w:sz w:val="20"/>
              </w:rPr>
              <w:t>报价得分按照低价优先法计算，即满足采购招标需求且方案报价最低的投标人报价为评标基准价，其价格分为满分，其他供应商的价格得分统一按照下列公式计算：报价得分=(评标基准价／方案报价)×20</w:t>
            </w:r>
          </w:p>
        </w:tc>
        <w:tc>
          <w:tcPr>
            <w:tcW w:w="9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990"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黑体"/>
                <w:sz w:val="28"/>
              </w:rPr>
            </w:pPr>
            <w:r>
              <w:rPr>
                <w:rFonts w:hint="eastAsia" w:ascii="宋体" w:hAnsi="宋体" w:eastAsia="宋体" w:cs="华文仿宋"/>
                <w:b/>
                <w:spacing w:val="-11"/>
                <w:kern w:val="16"/>
                <w:szCs w:val="21"/>
              </w:rPr>
              <w:t>评标总得分：商务部分＋技术部分＋疫情防控+价格部分</w:t>
            </w:r>
          </w:p>
        </w:tc>
        <w:tc>
          <w:tcPr>
            <w:tcW w:w="929"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cs="黑体"/>
                <w:sz w:val="28"/>
              </w:rPr>
            </w:pPr>
          </w:p>
        </w:tc>
      </w:tr>
    </w:tbl>
    <w:p>
      <w:pPr>
        <w:spacing w:line="580" w:lineRule="exact"/>
        <w:rPr>
          <w:rFonts w:ascii="仿宋_GB2312" w:hAnsi="仿宋_GB2312" w:eastAsia="仿宋_GB2312" w:cs="仿宋_GB2312"/>
          <w:color w:val="000000"/>
          <w:sz w:val="32"/>
          <w:szCs w:val="32"/>
        </w:rPr>
      </w:pPr>
    </w:p>
    <w:p>
      <w:pPr>
        <w:spacing w:line="580" w:lineRule="exact"/>
        <w:rPr>
          <w:rFonts w:ascii="仿宋_GB2312" w:hAnsi="仿宋_GB2312" w:eastAsia="仿宋_GB2312" w:cs="仿宋_GB2312"/>
          <w:color w:val="000000"/>
          <w:sz w:val="32"/>
          <w:szCs w:val="32"/>
        </w:rPr>
      </w:pPr>
    </w:p>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322B5F2"/>
    <w:multiLevelType w:val="singleLevel"/>
    <w:tmpl w:val="6322B5F2"/>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4"/>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841FB0"/>
    <w:rsid w:val="7EB007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Body Text"/>
    <w:basedOn w:val="1"/>
    <w:qFormat/>
    <w:uiPriority w:val="0"/>
    <w:pPr>
      <w:spacing w:before="100" w:beforeAutospacing="1" w:after="120"/>
    </w:pPr>
    <w:rPr>
      <w:rFonts w:ascii="Times New Roman" w:hAnsi="Times New Roman" w:eastAsia="宋体" w:cs="Times New Roman"/>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2020-04-16T10:34:00Z</dcterms:created>
  <dc:creator>admin</dc:creator>
  <cp:lastModifiedBy>董克源</cp:lastModifiedBy>
  <dcterms:modified xsi:type="dcterms:W3CDTF">2021-03-25T02:53:33Z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2052-11.8.2.9017</vt:lpwstr>
  </property>
</Properties>
</file>