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黑体" w:hAnsi="黑体" w:eastAsia="黑体" w:cs="黑体"/>
          <w:sz w:val="32"/>
          <w:szCs w:val="32"/>
        </w:rPr>
      </w:pPr>
      <w:r>
        <w:rPr>
          <w:rFonts w:hint="eastAsia" w:ascii="方正小标宋简体" w:hAnsi="Times New Roman" w:eastAsia="方正小标宋简体"/>
          <w:sz w:val="44"/>
          <w:szCs w:val="44"/>
        </w:rPr>
        <w:t>深圳市退役军人事务局工作2021年年鉴编纂设计制作项目自行采购综合评分表</w:t>
      </w:r>
      <w:bookmarkStart w:id="0" w:name="_GoBack"/>
      <w:bookmarkEnd w:id="0"/>
    </w:p>
    <w:p>
      <w:pPr>
        <w:pStyle w:val="4"/>
        <w:widowControl/>
        <w:shd w:val="clear" w:color="auto" w:fill="FFFFFF"/>
        <w:spacing w:before="0" w:beforeAutospacing="0" w:after="0" w:afterAutospacing="0" w:line="480" w:lineRule="atLeast"/>
        <w:jc w:val="center"/>
        <w:rPr>
          <w:rFonts w:ascii="黑体" w:hAnsi="黑体" w:eastAsia="黑体" w:cs="黑体"/>
          <w:sz w:val="32"/>
          <w:szCs w:val="32"/>
        </w:rPr>
      </w:pPr>
      <w:r>
        <w:rPr>
          <w:rFonts w:hint="eastAsia" w:ascii="黑体" w:hAnsi="黑体" w:eastAsia="黑体" w:cs="黑体"/>
          <w:sz w:val="32"/>
          <w:szCs w:val="32"/>
        </w:rPr>
        <w:t>评分细则</w:t>
      </w: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20" w:type="dxa"/>
          <w:left w:w="108" w:type="dxa"/>
          <w:bottom w:w="20" w:type="dxa"/>
          <w:right w:w="108" w:type="dxa"/>
        </w:tblCellMar>
      </w:tblPr>
      <w:tblGrid>
        <w:gridCol w:w="680"/>
        <w:gridCol w:w="680"/>
        <w:gridCol w:w="2835"/>
        <w:gridCol w:w="649"/>
        <w:gridCol w:w="42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C7DAF1"/>
            <w:vAlign w:val="center"/>
          </w:tcPr>
          <w:p>
            <w:pPr>
              <w:wordWrap w:val="0"/>
              <w:jc w:val="center"/>
              <w:rPr>
                <w:rFonts w:ascii="宋体" w:hAnsi="宋体" w:cs="宋体"/>
                <w:b/>
                <w:bCs/>
                <w:sz w:val="24"/>
              </w:rPr>
            </w:pPr>
            <w:r>
              <w:rPr>
                <w:b/>
                <w:bCs/>
              </w:rPr>
              <w:t>序号</w:t>
            </w:r>
          </w:p>
        </w:tc>
        <w:tc>
          <w:tcPr>
            <w:tcW w:w="4164" w:type="dxa"/>
            <w:gridSpan w:val="3"/>
            <w:tcBorders>
              <w:top w:val="single" w:color="000000" w:sz="8" w:space="0"/>
              <w:left w:val="single" w:color="000000" w:sz="8" w:space="0"/>
              <w:bottom w:val="single" w:color="000000" w:sz="8" w:space="0"/>
              <w:right w:val="single" w:color="000000" w:sz="8" w:space="0"/>
            </w:tcBorders>
            <w:shd w:val="clear" w:color="auto" w:fill="C7DAF1"/>
            <w:vAlign w:val="center"/>
          </w:tcPr>
          <w:p>
            <w:pPr>
              <w:wordWrap w:val="0"/>
              <w:jc w:val="center"/>
              <w:rPr>
                <w:rFonts w:ascii="宋体" w:hAnsi="宋体" w:cs="宋体"/>
                <w:b/>
                <w:bCs/>
                <w:sz w:val="24"/>
              </w:rPr>
            </w:pPr>
            <w:r>
              <w:rPr>
                <w:b/>
                <w:bCs/>
              </w:rPr>
              <w:t>评分项</w:t>
            </w:r>
          </w:p>
        </w:tc>
        <w:tc>
          <w:tcPr>
            <w:tcW w:w="4228" w:type="dxa"/>
            <w:tcBorders>
              <w:top w:val="single" w:color="000000" w:sz="8" w:space="0"/>
              <w:left w:val="single" w:color="000000" w:sz="8" w:space="0"/>
              <w:bottom w:val="single" w:color="000000" w:sz="8" w:space="0"/>
              <w:right w:val="single" w:color="000000" w:sz="8" w:space="0"/>
            </w:tcBorders>
            <w:shd w:val="clear" w:color="auto" w:fill="C7DAF1"/>
            <w:vAlign w:val="center"/>
          </w:tcPr>
          <w:p>
            <w:pPr>
              <w:wordWrap w:val="0"/>
              <w:jc w:val="center"/>
              <w:rPr>
                <w:rFonts w:ascii="宋体" w:hAnsi="宋体" w:cs="宋体"/>
                <w:b/>
                <w:bCs/>
                <w:sz w:val="24"/>
              </w:rPr>
            </w:pPr>
            <w:r>
              <w:rPr>
                <w:b/>
                <w:bCs/>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shd w:val="clear" w:color="auto" w:fill="FFFFFF"/>
          </w:tcPr>
          <w:p>
            <w:pPr>
              <w:wordWrap w:val="0"/>
              <w:jc w:val="center"/>
              <w:rPr>
                <w:rFonts w:ascii="宋体" w:hAnsi="宋体" w:cs="宋体"/>
                <w:b/>
                <w:bCs/>
                <w:color w:val="3017AF"/>
                <w:sz w:val="24"/>
              </w:rPr>
            </w:pPr>
            <w:r>
              <w:rPr>
                <w:b/>
                <w:bCs/>
                <w:color w:val="3017AF"/>
              </w:rPr>
              <w:t>1</w:t>
            </w:r>
          </w:p>
        </w:tc>
        <w:tc>
          <w:tcPr>
            <w:tcW w:w="4164" w:type="dxa"/>
            <w:gridSpan w:val="3"/>
            <w:tcBorders>
              <w:top w:val="single" w:color="000000" w:sz="8" w:space="0"/>
              <w:left w:val="single" w:color="000000" w:sz="8" w:space="0"/>
              <w:bottom w:val="single" w:color="000000" w:sz="8" w:space="0"/>
              <w:right w:val="single" w:color="000000" w:sz="8" w:space="0"/>
            </w:tcBorders>
            <w:shd w:val="clear" w:color="auto" w:fill="FFFFFF"/>
          </w:tcPr>
          <w:p>
            <w:pPr>
              <w:wordWrap w:val="0"/>
              <w:jc w:val="center"/>
              <w:rPr>
                <w:b/>
                <w:bCs/>
                <w:color w:val="0000FF"/>
              </w:rPr>
            </w:pPr>
            <w:r>
              <w:rPr>
                <w:rFonts w:hint="eastAsia"/>
                <w:b/>
                <w:bCs/>
                <w:color w:val="0000FF"/>
              </w:rPr>
              <w:t>价格</w:t>
            </w:r>
          </w:p>
        </w:tc>
        <w:tc>
          <w:tcPr>
            <w:tcW w:w="4228" w:type="dxa"/>
            <w:tcBorders>
              <w:top w:val="single" w:color="000000" w:sz="8" w:space="0"/>
              <w:left w:val="single" w:color="000000" w:sz="8" w:space="0"/>
              <w:bottom w:val="single" w:color="000000" w:sz="8" w:space="0"/>
              <w:right w:val="single" w:color="000000" w:sz="8" w:space="0"/>
            </w:tcBorders>
            <w:shd w:val="clear" w:color="auto" w:fill="FFFFFF"/>
          </w:tcPr>
          <w:p>
            <w:pPr>
              <w:wordWrap w:val="0"/>
              <w:jc w:val="center"/>
              <w:rPr>
                <w:b/>
                <w:bCs/>
                <w:color w:val="0000FF"/>
              </w:rPr>
            </w:pPr>
            <w:r>
              <w:rPr>
                <w:rFonts w:hint="eastAsia"/>
                <w:b/>
                <w:bCs/>
                <w:color w:val="0000FF"/>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cs="宋体"/>
                <w:b/>
                <w:bCs/>
                <w:color w:val="3017AF"/>
                <w:sz w:val="24"/>
              </w:rPr>
            </w:pPr>
          </w:p>
        </w:tc>
        <w:tc>
          <w:tcPr>
            <w:tcW w:w="8392" w:type="dxa"/>
            <w:gridSpan w:val="4"/>
            <w:tcBorders>
              <w:top w:val="single" w:color="000000" w:sz="8" w:space="0"/>
              <w:left w:val="single" w:color="000000" w:sz="8" w:space="0"/>
              <w:bottom w:val="single" w:color="000000" w:sz="8" w:space="0"/>
              <w:right w:val="single" w:color="000000" w:sz="8" w:space="0"/>
            </w:tcBorders>
            <w:shd w:val="clear" w:color="auto" w:fill="FFFFFF"/>
          </w:tcPr>
          <w:p>
            <w:pPr>
              <w:wordWrap w:val="0"/>
              <w:rPr>
                <w:rFonts w:hint="default" w:ascii="宋体" w:hAnsi="宋体" w:eastAsia="宋体" w:cs="宋体"/>
                <w:color w:val="3017AF"/>
                <w:szCs w:val="21"/>
                <w:lang w:val="en-US" w:eastAsia="zh-CN"/>
              </w:rPr>
            </w:pPr>
            <w:r>
              <w:rPr>
                <w:rFonts w:hint="eastAsia" w:ascii="宋体" w:hAnsi="宋体" w:cs="宋体"/>
                <w:color w:val="3017AF"/>
                <w:szCs w:val="21"/>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ascii="宋体" w:hAnsi="宋体" w:cs="宋体"/>
                <w:color w:val="3017AF"/>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shd w:val="clear" w:color="auto" w:fill="FFFFFF"/>
          </w:tcPr>
          <w:p>
            <w:pPr>
              <w:wordWrap w:val="0"/>
              <w:jc w:val="center"/>
              <w:rPr>
                <w:rFonts w:ascii="宋体" w:hAnsi="宋体" w:cs="宋体"/>
                <w:b/>
                <w:bCs/>
                <w:color w:val="3017AF"/>
                <w:sz w:val="24"/>
              </w:rPr>
            </w:pPr>
            <w:r>
              <w:rPr>
                <w:b/>
                <w:bCs/>
                <w:color w:val="3017AF"/>
              </w:rPr>
              <w:t>2</w:t>
            </w:r>
          </w:p>
        </w:tc>
        <w:tc>
          <w:tcPr>
            <w:tcW w:w="4164" w:type="dxa"/>
            <w:gridSpan w:val="3"/>
            <w:tcBorders>
              <w:top w:val="single" w:color="000000" w:sz="8" w:space="0"/>
              <w:left w:val="single" w:color="000000" w:sz="8" w:space="0"/>
              <w:bottom w:val="single" w:color="000000" w:sz="8" w:space="0"/>
              <w:right w:val="single" w:color="000000" w:sz="8" w:space="0"/>
            </w:tcBorders>
            <w:shd w:val="clear" w:color="auto" w:fill="FFFFFF"/>
          </w:tcPr>
          <w:p>
            <w:pPr>
              <w:wordWrap w:val="0"/>
              <w:jc w:val="center"/>
              <w:rPr>
                <w:b/>
                <w:bCs/>
                <w:color w:val="0000FF"/>
              </w:rPr>
            </w:pPr>
            <w:r>
              <w:rPr>
                <w:rFonts w:hint="eastAsia"/>
                <w:b/>
                <w:bCs/>
                <w:color w:val="0000FF"/>
              </w:rPr>
              <w:t>商务</w:t>
            </w:r>
          </w:p>
        </w:tc>
        <w:tc>
          <w:tcPr>
            <w:tcW w:w="4228" w:type="dxa"/>
            <w:tcBorders>
              <w:top w:val="single" w:color="000000" w:sz="8" w:space="0"/>
              <w:left w:val="single" w:color="000000" w:sz="8" w:space="0"/>
              <w:bottom w:val="single" w:color="000000" w:sz="8" w:space="0"/>
              <w:right w:val="single" w:color="000000" w:sz="8" w:space="0"/>
            </w:tcBorders>
            <w:shd w:val="clear" w:color="auto" w:fill="FFFFFF"/>
          </w:tcPr>
          <w:p>
            <w:pPr>
              <w:wordWrap w:val="0"/>
              <w:jc w:val="center"/>
              <w:rPr>
                <w:b/>
                <w:bCs/>
                <w:color w:val="0000FF"/>
              </w:rPr>
            </w:pPr>
            <w:r>
              <w:rPr>
                <w:rFonts w:hint="eastAsia"/>
                <w:b/>
                <w:bCs/>
                <w:color w:val="0000FF"/>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cs="宋体"/>
                <w:b/>
                <w:bCs/>
                <w:sz w:val="24"/>
              </w:rPr>
            </w:pPr>
          </w:p>
        </w:tc>
        <w:tc>
          <w:tcPr>
            <w:tcW w:w="8392" w:type="dxa"/>
            <w:gridSpan w:val="4"/>
            <w:tcBorders>
              <w:top w:val="single" w:color="000000" w:sz="8" w:space="0"/>
              <w:left w:val="single" w:color="000000" w:sz="8" w:space="0"/>
              <w:bottom w:val="single" w:color="000000" w:sz="8" w:space="0"/>
              <w:right w:val="single" w:color="000000" w:sz="8" w:space="0"/>
            </w:tcBorders>
            <w:shd w:val="clear" w:color="auto" w:fill="FFFFFF"/>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cs="宋体"/>
                <w:b/>
                <w:bCs/>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DCE6F2"/>
            <w:vAlign w:val="center"/>
          </w:tcPr>
          <w:p>
            <w:pPr>
              <w:wordWrap w:val="0"/>
              <w:jc w:val="center"/>
              <w:rPr>
                <w:b/>
                <w:bCs/>
                <w:color w:val="0000FF"/>
              </w:rPr>
            </w:pPr>
            <w:r>
              <w:rPr>
                <w:rFonts w:hint="eastAsia"/>
                <w:b/>
                <w:bCs/>
                <w:color w:val="0000FF"/>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DCE6F2"/>
            <w:vAlign w:val="center"/>
          </w:tcPr>
          <w:p>
            <w:pPr>
              <w:wordWrap w:val="0"/>
              <w:jc w:val="center"/>
              <w:rPr>
                <w:b/>
                <w:bCs/>
                <w:color w:val="0000FF"/>
              </w:rPr>
            </w:pPr>
            <w:r>
              <w:rPr>
                <w:rFonts w:hint="eastAsia"/>
                <w:b/>
                <w:bCs/>
                <w:color w:val="0000FF"/>
              </w:rPr>
              <w:t>评分因素</w:t>
            </w:r>
          </w:p>
        </w:tc>
        <w:tc>
          <w:tcPr>
            <w:tcW w:w="649" w:type="dxa"/>
            <w:tcBorders>
              <w:top w:val="outset" w:color="000000" w:sz="6" w:space="0"/>
              <w:left w:val="outset" w:color="000000" w:sz="6" w:space="0"/>
              <w:bottom w:val="outset" w:color="000000" w:sz="6" w:space="0"/>
              <w:right w:val="outset" w:color="000000" w:sz="6" w:space="0"/>
            </w:tcBorders>
            <w:shd w:val="clear" w:color="auto" w:fill="DCE6F2"/>
            <w:vAlign w:val="center"/>
          </w:tcPr>
          <w:p>
            <w:pPr>
              <w:wordWrap w:val="0"/>
              <w:jc w:val="center"/>
              <w:rPr>
                <w:b/>
                <w:bCs/>
                <w:color w:val="0000FF"/>
              </w:rPr>
            </w:pPr>
            <w:r>
              <w:rPr>
                <w:rFonts w:hint="eastAsia"/>
                <w:b/>
                <w:bCs/>
                <w:color w:val="0000FF"/>
              </w:rPr>
              <w:t>权重</w:t>
            </w:r>
          </w:p>
        </w:tc>
        <w:tc>
          <w:tcPr>
            <w:tcW w:w="4228" w:type="dxa"/>
            <w:tcBorders>
              <w:top w:val="outset" w:color="000000" w:sz="6" w:space="0"/>
              <w:left w:val="outset" w:color="000000" w:sz="6" w:space="0"/>
              <w:bottom w:val="outset" w:color="000000" w:sz="6" w:space="0"/>
              <w:right w:val="outset" w:color="000000" w:sz="6" w:space="0"/>
            </w:tcBorders>
            <w:shd w:val="clear" w:color="auto" w:fill="DCE6F2"/>
            <w:vAlign w:val="center"/>
          </w:tcPr>
          <w:p>
            <w:pPr>
              <w:wordWrap w:val="0"/>
              <w:jc w:val="center"/>
              <w:rPr>
                <w:b/>
                <w:bCs/>
                <w:color w:val="0000FF"/>
              </w:rPr>
            </w:pPr>
            <w:r>
              <w:rPr>
                <w:rFonts w:hint="eastAsia"/>
                <w:b/>
                <w:bCs/>
                <w:color w:val="0000FF"/>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cs="宋体"/>
                <w:b/>
                <w:bCs/>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Cs w:val="21"/>
              </w:rPr>
            </w:pPr>
            <w:r>
              <w:rPr>
                <w:rFonts w:hint="eastAsia"/>
                <w:szCs w:val="21"/>
              </w:rPr>
              <w:t>1</w:t>
            </w:r>
          </w:p>
        </w:tc>
        <w:tc>
          <w:tcPr>
            <w:tcW w:w="28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szCs w:val="21"/>
              </w:rPr>
            </w:pPr>
            <w:r>
              <w:rPr>
                <w:rFonts w:hint="eastAsia" w:ascii="宋体" w:hAnsi="宋体"/>
                <w:szCs w:val="21"/>
              </w:rPr>
              <w:t>同类项目业绩</w:t>
            </w:r>
          </w:p>
          <w:p>
            <w:pPr>
              <w:jc w:val="center"/>
              <w:rPr>
                <w:rFonts w:ascii="宋体" w:hAnsi="宋体" w:cs="宋体"/>
                <w:szCs w:val="21"/>
              </w:rPr>
            </w:pPr>
          </w:p>
        </w:tc>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Cs w:val="21"/>
              </w:rPr>
            </w:pPr>
            <w:r>
              <w:rPr>
                <w:rFonts w:hint="eastAsia" w:ascii="宋体" w:hAnsi="宋体"/>
                <w:szCs w:val="21"/>
              </w:rPr>
              <w:t>10</w:t>
            </w:r>
          </w:p>
        </w:tc>
        <w:tc>
          <w:tcPr>
            <w:tcW w:w="4228" w:type="dxa"/>
            <w:tcBorders>
              <w:top w:val="single" w:color="000000" w:sz="8" w:space="0"/>
              <w:left w:val="single" w:color="000000" w:sz="8" w:space="0"/>
              <w:bottom w:val="single" w:color="000000" w:sz="8" w:space="0"/>
              <w:right w:val="single" w:color="000000" w:sz="8" w:space="0"/>
            </w:tcBorders>
            <w:shd w:val="clear" w:color="auto" w:fill="FFFFFF"/>
          </w:tcPr>
          <w:p>
            <w:pPr>
              <w:ind w:left="-318"/>
              <w:jc w:val="left"/>
            </w:pPr>
            <w:r>
              <w:rPr>
                <w:rFonts w:hint="eastAsia"/>
              </w:rPr>
              <w:t>1.</w:t>
            </w:r>
            <w:r>
              <w:rPr>
                <w:rFonts w:hint="eastAsia"/>
              </w:rPr>
              <w:tab/>
            </w:r>
            <w:r>
              <w:rPr>
                <w:b/>
                <w:bCs/>
              </w:rPr>
              <w:t>1.</w:t>
            </w:r>
            <w:r>
              <w:rPr>
                <w:rFonts w:hint="eastAsia"/>
                <w:b/>
                <w:bCs/>
              </w:rPr>
              <w:t>评审标准：</w:t>
            </w:r>
          </w:p>
          <w:p>
            <w:pPr>
              <w:numPr>
                <w:ilvl w:val="0"/>
                <w:numId w:val="1"/>
              </w:numPr>
              <w:ind w:left="0" w:hanging="318"/>
              <w:jc w:val="left"/>
            </w:pPr>
            <w:r>
              <w:rPr>
                <w:rFonts w:hint="eastAsia"/>
              </w:rPr>
              <w:t>投标人自2018年1月1日至投标截止时间前完成的年鉴类项目业绩。完成过市级或以上年鉴得100%，区级及以上综合年鉴每有一个得分30%，最高不超过10分 。</w:t>
            </w:r>
          </w:p>
          <w:p>
            <w:pPr>
              <w:jc w:val="left"/>
            </w:pPr>
            <w:r>
              <w:rPr>
                <w:rFonts w:hint="eastAsia"/>
                <w:b/>
                <w:bCs/>
                <w:szCs w:val="21"/>
              </w:rPr>
              <w:t>2.</w:t>
            </w:r>
            <w:r>
              <w:rPr>
                <w:b/>
                <w:bCs/>
                <w:szCs w:val="21"/>
              </w:rPr>
              <w:t>评分依据：</w:t>
            </w:r>
          </w:p>
          <w:p>
            <w:pPr>
              <w:jc w:val="left"/>
            </w:pPr>
            <w:r>
              <w:rPr>
                <w:rFonts w:hint="eastAsia"/>
              </w:rPr>
              <w:t>投标人须提供项目合同或验收报告。</w:t>
            </w:r>
          </w:p>
          <w:p>
            <w:r>
              <w:rPr>
                <w:rFonts w:hint="eastAsia"/>
              </w:rPr>
              <w:t>项目合同复印件为合同关键页、首页及尾页公章页。</w:t>
            </w:r>
          </w:p>
          <w:p>
            <w:pPr>
              <w:jc w:val="left"/>
            </w:pPr>
            <w:r>
              <w:rPr>
                <w:rFonts w:hint="eastAsia"/>
                <w:b/>
                <w:bCs/>
                <w:szCs w:val="21"/>
              </w:rPr>
              <w:t>按要求提供或提供不清晰导致专家无法判断的不得分，原件备查。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cs="宋体"/>
                <w:b/>
                <w:bCs/>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szCs w:val="21"/>
              </w:rPr>
            </w:pPr>
            <w:r>
              <w:rPr>
                <w:rFonts w:hint="eastAsia" w:ascii="宋体" w:hAnsi="宋体" w:cs="宋体"/>
                <w:szCs w:val="21"/>
              </w:rPr>
              <w:t>2</w:t>
            </w:r>
          </w:p>
        </w:tc>
        <w:tc>
          <w:tcPr>
            <w:tcW w:w="28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szCs w:val="21"/>
              </w:rPr>
            </w:pPr>
            <w:r>
              <w:rPr>
                <w:rFonts w:hint="eastAsia" w:ascii="宋体" w:hAnsi="宋体" w:cs="宋体"/>
                <w:kern w:val="0"/>
                <w:szCs w:val="21"/>
              </w:rPr>
              <w:t>投标人获奖及荣誉情况</w:t>
            </w:r>
          </w:p>
          <w:p>
            <w:pPr>
              <w:jc w:val="center"/>
              <w:rPr>
                <w:rFonts w:ascii="宋体" w:hAnsi="宋体"/>
                <w:szCs w:val="21"/>
                <w:lang w:val="zh-CN"/>
              </w:rPr>
            </w:pPr>
          </w:p>
        </w:tc>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szCs w:val="21"/>
              </w:rPr>
            </w:pPr>
            <w:r>
              <w:rPr>
                <w:rFonts w:hint="eastAsia"/>
                <w:szCs w:val="21"/>
              </w:rPr>
              <w:t>10</w:t>
            </w:r>
          </w:p>
        </w:tc>
        <w:tc>
          <w:tcPr>
            <w:tcW w:w="42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exact"/>
              <w:jc w:val="left"/>
            </w:pPr>
            <w:r>
              <w:rPr>
                <w:rFonts w:hint="eastAsia"/>
                <w:b/>
                <w:bCs/>
              </w:rPr>
              <w:t>1.评审内容：</w:t>
            </w:r>
            <w:r>
              <w:rPr>
                <w:rFonts w:hint="eastAsia"/>
              </w:rPr>
              <w:t>投标人2018年至2021年3年内获得过史志系统或出版系统国家、省级有关年鉴编纂奖项。</w:t>
            </w:r>
          </w:p>
          <w:p>
            <w:pPr>
              <w:widowControl/>
              <w:spacing w:line="360" w:lineRule="exact"/>
              <w:jc w:val="left"/>
              <w:rPr>
                <w:b/>
                <w:bCs/>
              </w:rPr>
            </w:pPr>
            <w:r>
              <w:rPr>
                <w:b/>
                <w:bCs/>
              </w:rPr>
              <w:t>2.</w:t>
            </w:r>
            <w:r>
              <w:rPr>
                <w:rFonts w:hint="eastAsia"/>
                <w:b/>
                <w:bCs/>
              </w:rPr>
              <w:t>分档评分：</w:t>
            </w:r>
          </w:p>
          <w:p>
            <w:pPr>
              <w:widowControl/>
              <w:spacing w:line="360" w:lineRule="exact"/>
              <w:jc w:val="left"/>
            </w:pPr>
            <w:r>
              <w:rPr>
                <w:rFonts w:hint="eastAsia"/>
              </w:rPr>
              <w:t>①获国家级三等以上奖项得100%分；</w:t>
            </w:r>
          </w:p>
          <w:p>
            <w:pPr>
              <w:widowControl/>
              <w:spacing w:line="360" w:lineRule="exact"/>
              <w:jc w:val="left"/>
            </w:pPr>
            <w:r>
              <w:rPr>
                <w:rFonts w:hint="eastAsia"/>
              </w:rPr>
              <w:t>②获省级年鉴评比一等的奖项得80%分；</w:t>
            </w:r>
          </w:p>
          <w:p>
            <w:pPr>
              <w:widowControl/>
              <w:spacing w:line="360" w:lineRule="exact"/>
              <w:jc w:val="left"/>
            </w:pPr>
            <w:r>
              <w:rPr>
                <w:rFonts w:hint="eastAsia"/>
              </w:rPr>
              <w:t>③获省级年鉴评比二等的奖项得60%分；</w:t>
            </w:r>
          </w:p>
          <w:p>
            <w:pPr>
              <w:widowControl/>
              <w:spacing w:line="360" w:lineRule="exact"/>
              <w:jc w:val="left"/>
            </w:pPr>
            <w:r>
              <w:rPr>
                <w:rFonts w:hint="eastAsia"/>
              </w:rPr>
              <w:t>④获省级年鉴评比三等的奖项得30%分；</w:t>
            </w:r>
          </w:p>
          <w:p>
            <w:pPr>
              <w:widowControl/>
              <w:spacing w:line="360" w:lineRule="exact"/>
              <w:jc w:val="left"/>
            </w:pPr>
            <w:r>
              <w:rPr>
                <w:rFonts w:hint="eastAsia"/>
              </w:rPr>
              <w:t>⑤投标文件中未体现以上内容或提供不清晰导致专家无法判断的，不得分。</w:t>
            </w:r>
          </w:p>
          <w:p>
            <w:pPr>
              <w:widowControl/>
              <w:spacing w:line="360" w:lineRule="exact"/>
              <w:jc w:val="left"/>
            </w:pPr>
            <w:r>
              <w:rPr>
                <w:rFonts w:hint="eastAsia"/>
              </w:rPr>
              <w:t>最高不超过10分 。</w:t>
            </w:r>
          </w:p>
          <w:p>
            <w:pPr>
              <w:numPr>
                <w:ilvl w:val="0"/>
                <w:numId w:val="1"/>
              </w:numPr>
              <w:snapToGrid/>
              <w:ind w:left="0" w:hanging="318"/>
              <w:jc w:val="left"/>
              <w:rPr>
                <w:sz w:val="18"/>
              </w:rPr>
            </w:pPr>
            <w:r>
              <w:rPr>
                <w:b/>
                <w:bCs/>
              </w:rPr>
              <w:t>3.</w:t>
            </w:r>
            <w:r>
              <w:rPr>
                <w:rFonts w:hint="eastAsia"/>
                <w:b/>
                <w:bCs/>
              </w:rPr>
              <w:t>证明文件：</w:t>
            </w:r>
            <w:r>
              <w:rPr>
                <w:rFonts w:hint="eastAsia"/>
              </w:rPr>
              <w:t>提供奖项或获奖（荣誉）证书等证明材料复印件加盖投标人公章，原件备查。</w:t>
            </w:r>
          </w:p>
          <w:p>
            <w:pPr>
              <w:pStyle w:val="2"/>
              <w:numPr>
                <w:ilvl w:val="0"/>
                <w:numId w:val="1"/>
              </w:numPr>
              <w:snapToGrid/>
              <w:ind w:left="0" w:hanging="318"/>
              <w:rPr>
                <w:sz w:val="18"/>
                <w:lang w:val="zh-CN"/>
              </w:rPr>
            </w:pPr>
            <w:r>
              <w:rPr>
                <w:rFonts w:hint="eastAsia"/>
                <w:b/>
                <w:bCs/>
                <w:szCs w:val="21"/>
              </w:rPr>
              <w:t>未按要求提供或提供不清晰导致专家无法判断的不得分，原件备查。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cs="宋体"/>
                <w:b/>
                <w:bCs/>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Cs w:val="21"/>
              </w:rPr>
            </w:pPr>
            <w:r>
              <w:rPr>
                <w:rFonts w:hint="eastAsia"/>
                <w:szCs w:val="21"/>
              </w:rPr>
              <w:t>3</w:t>
            </w:r>
          </w:p>
        </w:tc>
        <w:tc>
          <w:tcPr>
            <w:tcW w:w="28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Cs w:val="21"/>
              </w:rPr>
            </w:pPr>
            <w:r>
              <w:rPr>
                <w:rFonts w:hint="eastAsia" w:ascii="宋体" w:hAnsi="宋体" w:cs="宋体"/>
                <w:szCs w:val="21"/>
              </w:rPr>
              <w:t>履约评价</w:t>
            </w:r>
          </w:p>
          <w:p>
            <w:pPr>
              <w:jc w:val="center"/>
              <w:rPr>
                <w:rFonts w:ascii="宋体" w:hAnsi="宋体" w:cs="宋体"/>
                <w:szCs w:val="21"/>
              </w:rPr>
            </w:pPr>
          </w:p>
        </w:tc>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Cs w:val="21"/>
              </w:rPr>
            </w:pPr>
            <w:r>
              <w:rPr>
                <w:rFonts w:hint="eastAsia" w:ascii="宋体" w:hAnsi="宋体" w:cs="宋体"/>
                <w:szCs w:val="21"/>
              </w:rPr>
              <w:t>10</w:t>
            </w:r>
          </w:p>
        </w:tc>
        <w:tc>
          <w:tcPr>
            <w:tcW w:w="4228" w:type="dxa"/>
            <w:tcBorders>
              <w:top w:val="single" w:color="000000" w:sz="8" w:space="0"/>
              <w:left w:val="single" w:color="000000" w:sz="8" w:space="0"/>
              <w:bottom w:val="single" w:color="000000" w:sz="8" w:space="0"/>
              <w:right w:val="single" w:color="000000" w:sz="8" w:space="0"/>
            </w:tcBorders>
            <w:shd w:val="clear" w:color="auto" w:fill="FFFFFF"/>
          </w:tcPr>
          <w:p>
            <w:pPr>
              <w:ind w:left="0"/>
              <w:rPr>
                <w:b/>
                <w:bCs/>
              </w:rPr>
            </w:pPr>
            <w:r>
              <w:rPr>
                <w:rFonts w:hint="eastAsia"/>
                <w:b/>
                <w:bCs/>
              </w:rPr>
              <w:t>1.评审标准：</w:t>
            </w:r>
          </w:p>
          <w:p>
            <w:r>
              <w:rPr>
                <w:rFonts w:hint="eastAsia"/>
              </w:rPr>
              <w:t>投标人在年鉴项目业绩中，能够提供用户出具的履约评价书，且评价为优（或满意）的，每提供一项得分25%，最高不超过10分。</w:t>
            </w:r>
          </w:p>
          <w:p>
            <w:r>
              <w:rPr>
                <w:rFonts w:hint="eastAsia"/>
              </w:rPr>
              <w:t>不提供或不能有效证明的，不得分。</w:t>
            </w:r>
          </w:p>
          <w:p>
            <w:pPr>
              <w:numPr>
                <w:ilvl w:val="0"/>
                <w:numId w:val="2"/>
              </w:numPr>
              <w:ind w:left="0" w:hanging="318"/>
              <w:rPr>
                <w:b/>
                <w:bCs/>
              </w:rPr>
            </w:pPr>
            <w:r>
              <w:rPr>
                <w:rFonts w:hint="eastAsia"/>
                <w:b/>
                <w:bCs/>
              </w:rPr>
              <w:t>2、证明文件：</w:t>
            </w:r>
          </w:p>
          <w:p>
            <w:r>
              <w:rPr>
                <w:rFonts w:hint="eastAsia"/>
              </w:rPr>
              <w:t>投标人提供用户出具的履约评价书原件扫描件，原件备查。</w:t>
            </w:r>
          </w:p>
          <w:p>
            <w:pPr>
              <w:pStyle w:val="2"/>
            </w:pPr>
            <w:r>
              <w:rPr>
                <w:rFonts w:hint="eastAsia"/>
                <w:b/>
                <w:bCs/>
                <w:szCs w:val="21"/>
              </w:rPr>
              <w:t>未按要求提供或提供不清晰导致专家无法判断的不得分，原件备查。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shd w:val="clear" w:color="auto" w:fill="FFFFFF"/>
            <w:vAlign w:val="center"/>
          </w:tcPr>
          <w:p>
            <w:pPr>
              <w:wordWrap w:val="0"/>
              <w:jc w:val="center"/>
              <w:rPr>
                <w:rFonts w:ascii="宋体" w:hAnsi="宋体" w:cs="宋体"/>
                <w:b/>
                <w:bCs/>
                <w:sz w:val="24"/>
              </w:rPr>
            </w:pPr>
            <w:r>
              <w:rPr>
                <w:b/>
                <w:bCs/>
              </w:rPr>
              <w:t>3</w:t>
            </w:r>
          </w:p>
        </w:tc>
        <w:tc>
          <w:tcPr>
            <w:tcW w:w="4164" w:type="dxa"/>
            <w:gridSpan w:val="3"/>
            <w:tcBorders>
              <w:top w:val="single" w:color="000000" w:sz="8" w:space="0"/>
              <w:left w:val="single" w:color="000000" w:sz="8" w:space="0"/>
              <w:bottom w:val="single" w:color="000000" w:sz="8" w:space="0"/>
              <w:right w:val="single" w:color="000000" w:sz="8" w:space="0"/>
            </w:tcBorders>
            <w:shd w:val="clear" w:color="auto" w:fill="C7DAF1"/>
          </w:tcPr>
          <w:p>
            <w:pPr>
              <w:wordWrap w:val="0"/>
              <w:jc w:val="center"/>
              <w:rPr>
                <w:b/>
                <w:bCs/>
                <w:color w:val="0000FF"/>
              </w:rPr>
            </w:pPr>
            <w:r>
              <w:rPr>
                <w:rFonts w:hint="eastAsia"/>
                <w:b/>
                <w:bCs/>
                <w:color w:val="0000FF"/>
              </w:rPr>
              <w:t>技术</w:t>
            </w:r>
          </w:p>
        </w:tc>
        <w:tc>
          <w:tcPr>
            <w:tcW w:w="4228" w:type="dxa"/>
            <w:tcBorders>
              <w:top w:val="single" w:color="000000" w:sz="8" w:space="0"/>
              <w:left w:val="single" w:color="000000" w:sz="8" w:space="0"/>
              <w:bottom w:val="single" w:color="000000" w:sz="8" w:space="0"/>
              <w:right w:val="single" w:color="000000" w:sz="8" w:space="0"/>
            </w:tcBorders>
            <w:shd w:val="clear" w:color="auto" w:fill="C7DAF1"/>
          </w:tcPr>
          <w:p>
            <w:pPr>
              <w:wordWrap w:val="0"/>
              <w:jc w:val="center"/>
              <w:rPr>
                <w:b/>
                <w:bCs/>
                <w:color w:val="0000FF"/>
              </w:rPr>
            </w:pPr>
            <w:r>
              <w:rPr>
                <w:rFonts w:hint="eastAsia"/>
                <w:b/>
                <w:bCs/>
                <w:color w:val="0000FF"/>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FFFFFF"/>
            <w:vAlign w:val="center"/>
          </w:tcPr>
          <w:p>
            <w:pPr>
              <w:rPr>
                <w:rFonts w:ascii="宋体" w:hAnsi="宋体" w:cs="宋体"/>
                <w:b/>
                <w:bCs/>
                <w:sz w:val="24"/>
              </w:rPr>
            </w:pPr>
          </w:p>
        </w:tc>
        <w:tc>
          <w:tcPr>
            <w:tcW w:w="8392" w:type="dxa"/>
            <w:gridSpan w:val="4"/>
            <w:tcBorders>
              <w:top w:val="single" w:color="000000" w:sz="8" w:space="0"/>
              <w:left w:val="single" w:color="000000" w:sz="8" w:space="0"/>
              <w:bottom w:val="single" w:color="000000" w:sz="8" w:space="0"/>
              <w:right w:val="single" w:color="000000" w:sz="8" w:space="0"/>
            </w:tcBorders>
            <w:shd w:val="clear" w:color="auto" w:fill="FFFFFF"/>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FFFFFF"/>
            <w:vAlign w:val="center"/>
          </w:tcPr>
          <w:p>
            <w:pPr>
              <w:rPr>
                <w:rFonts w:ascii="宋体" w:hAnsi="宋体" w:cs="宋体"/>
                <w:b/>
                <w:bCs/>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ordWrap w:val="0"/>
              <w:jc w:val="center"/>
              <w:rPr>
                <w:b/>
                <w:bCs/>
                <w:color w:val="0000FF"/>
              </w:rPr>
            </w:pPr>
            <w:r>
              <w:rPr>
                <w:rFonts w:hint="eastAsia"/>
                <w:b/>
                <w:bCs/>
                <w:color w:val="0000FF"/>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ordWrap w:val="0"/>
              <w:jc w:val="center"/>
              <w:rPr>
                <w:b/>
                <w:bCs/>
                <w:color w:val="0000FF"/>
              </w:rPr>
            </w:pPr>
            <w:r>
              <w:rPr>
                <w:rFonts w:hint="eastAsia"/>
                <w:b/>
                <w:bCs/>
                <w:color w:val="0000FF"/>
              </w:rPr>
              <w:t>评分因素</w:t>
            </w:r>
          </w:p>
        </w:tc>
        <w:tc>
          <w:tcPr>
            <w:tcW w:w="6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ordWrap w:val="0"/>
              <w:jc w:val="center"/>
              <w:rPr>
                <w:b/>
                <w:bCs/>
                <w:color w:val="0000FF"/>
              </w:rPr>
            </w:pPr>
            <w:r>
              <w:rPr>
                <w:rFonts w:hint="eastAsia"/>
                <w:b/>
                <w:bCs/>
                <w:color w:val="0000FF"/>
              </w:rPr>
              <w:t>权重</w:t>
            </w:r>
          </w:p>
        </w:tc>
        <w:tc>
          <w:tcPr>
            <w:tcW w:w="42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ordWrap w:val="0"/>
              <w:jc w:val="center"/>
              <w:rPr>
                <w:b/>
                <w:bCs/>
                <w:color w:val="0000FF"/>
              </w:rPr>
            </w:pPr>
            <w:r>
              <w:rPr>
                <w:rFonts w:hint="eastAsia"/>
                <w:b/>
                <w:bCs/>
                <w:color w:val="0000FF"/>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068" w:hRule="atLeast"/>
          <w:jc w:val="center"/>
        </w:trPr>
        <w:tc>
          <w:tcPr>
            <w:tcW w:w="680" w:type="dxa"/>
            <w:vMerge w:val="continue"/>
            <w:tcBorders>
              <w:left w:val="single" w:color="000000" w:sz="8" w:space="0"/>
              <w:right w:val="single" w:color="000000" w:sz="8" w:space="0"/>
            </w:tcBorders>
            <w:shd w:val="clear" w:color="auto" w:fill="FFFFFF"/>
            <w:vAlign w:val="center"/>
          </w:tcPr>
          <w:p>
            <w:pPr>
              <w:rPr>
                <w:rFonts w:ascii="宋体" w:hAnsi="宋体" w:cs="宋体"/>
                <w:b/>
                <w:bCs/>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szCs w:val="21"/>
              </w:rPr>
            </w:pPr>
          </w:p>
          <w:p>
            <w:pPr>
              <w:jc w:val="center"/>
              <w:rPr>
                <w:rFonts w:ascii="宋体" w:hAnsi="宋体"/>
                <w:szCs w:val="21"/>
              </w:rPr>
            </w:pPr>
            <w:r>
              <w:rPr>
                <w:szCs w:val="21"/>
              </w:rPr>
              <w:t>项目实施方案</w:t>
            </w:r>
          </w:p>
        </w:tc>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210" w:firstLineChars="100"/>
              <w:jc w:val="left"/>
              <w:rPr>
                <w:rFonts w:ascii="宋体" w:hAnsi="宋体"/>
                <w:szCs w:val="21"/>
              </w:rPr>
            </w:pPr>
            <w:r>
              <w:rPr>
                <w:rFonts w:hint="eastAsia" w:ascii="宋体" w:hAnsi="宋体"/>
                <w:szCs w:val="21"/>
              </w:rPr>
              <w:t>8</w:t>
            </w:r>
          </w:p>
        </w:tc>
        <w:tc>
          <w:tcPr>
            <w:tcW w:w="42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numPr>
                <w:ilvl w:val="255"/>
                <w:numId w:val="0"/>
              </w:numPr>
              <w:jc w:val="left"/>
              <w:rPr>
                <w:szCs w:val="21"/>
              </w:rPr>
            </w:pPr>
            <w:r>
              <w:rPr>
                <w:rFonts w:hint="eastAsia" w:ascii="宋体" w:hAnsi="宋体"/>
                <w:b/>
                <w:szCs w:val="21"/>
              </w:rPr>
              <w:t>1.评审标准：</w:t>
            </w:r>
            <w:r>
              <w:rPr>
                <w:szCs w:val="21"/>
              </w:rPr>
              <w:t>投标人应在投标文件中针对本项目详细说明项目实施方案，方案应包括</w:t>
            </w:r>
            <w:r>
              <w:rPr>
                <w:rFonts w:hint="eastAsia"/>
                <w:szCs w:val="21"/>
              </w:rPr>
              <w:t>项目实施策略、</w:t>
            </w:r>
            <w:r>
              <w:rPr>
                <w:szCs w:val="21"/>
              </w:rPr>
              <w:t>质量保障方案</w:t>
            </w:r>
            <w:r>
              <w:rPr>
                <w:rFonts w:hint="eastAsia"/>
                <w:szCs w:val="21"/>
              </w:rPr>
              <w:t>、项目管理制度及措施等</w:t>
            </w:r>
            <w:r>
              <w:rPr>
                <w:szCs w:val="21"/>
              </w:rPr>
              <w:t xml:space="preserve">，要求方案要全面、具体、针对性强、科学合理、可操作性强。 </w:t>
            </w:r>
          </w:p>
          <w:p>
            <w:pPr>
              <w:numPr>
                <w:ilvl w:val="255"/>
                <w:numId w:val="0"/>
              </w:numPr>
              <w:jc w:val="left"/>
              <w:rPr>
                <w:szCs w:val="21"/>
              </w:rPr>
            </w:pPr>
            <w:r>
              <w:rPr>
                <w:b/>
                <w:bCs/>
                <w:szCs w:val="21"/>
              </w:rPr>
              <w:t>2.</w:t>
            </w:r>
            <w:r>
              <w:rPr>
                <w:rFonts w:hint="eastAsia"/>
                <w:b/>
                <w:bCs/>
                <w:szCs w:val="21"/>
              </w:rPr>
              <w:t>评分依据：</w:t>
            </w:r>
            <w:r>
              <w:rPr>
                <w:szCs w:val="21"/>
              </w:rPr>
              <w:t xml:space="preserve">评审委员会根据招标文件的需求和投标文件的响应情况，进行评价及分档评分： </w:t>
            </w:r>
          </w:p>
          <w:p>
            <w:pPr>
              <w:numPr>
                <w:ilvl w:val="255"/>
                <w:numId w:val="0"/>
              </w:numPr>
              <w:jc w:val="left"/>
              <w:rPr>
                <w:szCs w:val="21"/>
              </w:rPr>
            </w:pPr>
            <w:r>
              <w:rPr>
                <w:szCs w:val="21"/>
              </w:rPr>
              <w:t xml:space="preserve">（1）项目实施方案内容全面； </w:t>
            </w:r>
          </w:p>
          <w:p>
            <w:pPr>
              <w:numPr>
                <w:ilvl w:val="255"/>
                <w:numId w:val="0"/>
              </w:numPr>
              <w:jc w:val="left"/>
              <w:rPr>
                <w:szCs w:val="21"/>
              </w:rPr>
            </w:pPr>
            <w:r>
              <w:rPr>
                <w:szCs w:val="21"/>
              </w:rPr>
              <w:t xml:space="preserve">（2）项目实施方案内容具体； </w:t>
            </w:r>
          </w:p>
          <w:p>
            <w:pPr>
              <w:numPr>
                <w:ilvl w:val="255"/>
                <w:numId w:val="0"/>
              </w:numPr>
              <w:jc w:val="left"/>
              <w:rPr>
                <w:szCs w:val="21"/>
              </w:rPr>
            </w:pPr>
            <w:r>
              <w:rPr>
                <w:szCs w:val="21"/>
              </w:rPr>
              <w:t>（3）项目实施方案内容科学合理；</w:t>
            </w:r>
          </w:p>
          <w:p>
            <w:pPr>
              <w:numPr>
                <w:ilvl w:val="255"/>
                <w:numId w:val="0"/>
              </w:numPr>
              <w:jc w:val="left"/>
              <w:rPr>
                <w:szCs w:val="21"/>
              </w:rPr>
            </w:pPr>
            <w:r>
              <w:rPr>
                <w:szCs w:val="21"/>
              </w:rPr>
              <w:t>（4）项目实施方案内容针对性强；</w:t>
            </w:r>
          </w:p>
          <w:p>
            <w:pPr>
              <w:numPr>
                <w:ilvl w:val="255"/>
                <w:numId w:val="0"/>
              </w:numPr>
              <w:jc w:val="left"/>
              <w:rPr>
                <w:szCs w:val="21"/>
              </w:rPr>
            </w:pPr>
            <w:r>
              <w:rPr>
                <w:szCs w:val="21"/>
              </w:rPr>
              <w:t>（5）项目实施方案内容可操作性强。</w:t>
            </w:r>
          </w:p>
          <w:p>
            <w:pPr>
              <w:jc w:val="left"/>
              <w:rPr>
                <w:highlight w:val="yellow"/>
              </w:rPr>
            </w:pPr>
            <w:r>
              <w:rPr>
                <w:szCs w:val="21"/>
              </w:rPr>
              <w:t>优评分标准：满足以上五项要求的评价为优，得</w:t>
            </w:r>
            <w:r>
              <w:rPr>
                <w:rFonts w:hint="eastAsia"/>
                <w:szCs w:val="21"/>
              </w:rPr>
              <w:t>分100%</w:t>
            </w:r>
            <w:r>
              <w:rPr>
                <w:szCs w:val="21"/>
              </w:rPr>
              <w:t>； 良评分标准：满足以上四项要求的评价为良，得</w:t>
            </w:r>
            <w:r>
              <w:rPr>
                <w:rFonts w:hint="eastAsia"/>
                <w:szCs w:val="21"/>
              </w:rPr>
              <w:t>分80%</w:t>
            </w:r>
            <w:r>
              <w:rPr>
                <w:szCs w:val="21"/>
              </w:rPr>
              <w:t>； 中评分标准：满足以上三项要求的评价为中，得</w:t>
            </w:r>
            <w:r>
              <w:rPr>
                <w:rFonts w:hint="eastAsia"/>
                <w:szCs w:val="21"/>
              </w:rPr>
              <w:t>分60%</w:t>
            </w:r>
            <w:r>
              <w:rPr>
                <w:szCs w:val="21"/>
              </w:rPr>
              <w:t>； 合格评分标准：满足以上二项要求的评价为中，得</w:t>
            </w:r>
            <w:r>
              <w:rPr>
                <w:rFonts w:hint="eastAsia"/>
                <w:szCs w:val="21"/>
              </w:rPr>
              <w:t>分30%</w:t>
            </w:r>
            <w:r>
              <w:rPr>
                <w:szCs w:val="21"/>
              </w:rPr>
              <w:t>； 差评分标准：上述情况之外的评差，得0 分</w:t>
            </w: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FFFFFF"/>
            <w:vAlign w:val="center"/>
          </w:tcPr>
          <w:p>
            <w:pPr>
              <w:rPr>
                <w:rFonts w:ascii="宋体" w:hAnsi="宋体" w:cs="宋体"/>
                <w:b/>
                <w:bCs/>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Cs w:val="21"/>
              </w:rPr>
            </w:pPr>
            <w:r>
              <w:rPr>
                <w:rFonts w:hint="eastAsia" w:ascii="宋体" w:hAnsi="宋体" w:cs="宋体"/>
                <w:szCs w:val="21"/>
              </w:rPr>
              <w:t>3</w:t>
            </w:r>
          </w:p>
        </w:tc>
        <w:tc>
          <w:tcPr>
            <w:tcW w:w="28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Cs w:val="21"/>
              </w:rPr>
            </w:pPr>
            <w:r>
              <w:rPr>
                <w:rFonts w:hint="eastAsia" w:ascii="宋体" w:hAnsi="宋体"/>
                <w:szCs w:val="21"/>
              </w:rPr>
              <w:t>重点难点分析</w:t>
            </w:r>
          </w:p>
        </w:tc>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szCs w:val="21"/>
              </w:rPr>
            </w:pPr>
            <w:r>
              <w:rPr>
                <w:rFonts w:hint="eastAsia"/>
                <w:szCs w:val="21"/>
              </w:rPr>
              <w:t>7</w:t>
            </w:r>
          </w:p>
        </w:tc>
        <w:tc>
          <w:tcPr>
            <w:tcW w:w="42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numPr>
                <w:ilvl w:val="255"/>
                <w:numId w:val="0"/>
              </w:numPr>
              <w:jc w:val="left"/>
              <w:rPr>
                <w:szCs w:val="21"/>
              </w:rPr>
            </w:pPr>
            <w:r>
              <w:rPr>
                <w:rFonts w:hint="eastAsia"/>
                <w:b/>
                <w:bCs/>
                <w:szCs w:val="21"/>
              </w:rPr>
              <w:t>1.</w:t>
            </w:r>
            <w:r>
              <w:rPr>
                <w:b/>
                <w:bCs/>
                <w:szCs w:val="21"/>
              </w:rPr>
              <w:t>评分</w:t>
            </w:r>
            <w:r>
              <w:rPr>
                <w:rFonts w:hint="eastAsia"/>
                <w:b/>
                <w:bCs/>
                <w:szCs w:val="21"/>
              </w:rPr>
              <w:t>标准</w:t>
            </w:r>
            <w:r>
              <w:rPr>
                <w:rFonts w:hint="eastAsia" w:ascii="宋体" w:hAnsi="宋体"/>
                <w:b/>
                <w:szCs w:val="21"/>
              </w:rPr>
              <w:t>：</w:t>
            </w:r>
            <w:r>
              <w:rPr>
                <w:rFonts w:hint="eastAsia"/>
                <w:szCs w:val="21"/>
              </w:rPr>
              <w:t>考察投标人针对本项目的项目重点难点分析、应对措施及相关的合理化建议所制定的可行性方案的情况。</w:t>
            </w:r>
          </w:p>
          <w:p>
            <w:pPr>
              <w:numPr>
                <w:ilvl w:val="255"/>
                <w:numId w:val="0"/>
              </w:numPr>
              <w:jc w:val="left"/>
              <w:rPr>
                <w:szCs w:val="21"/>
              </w:rPr>
            </w:pPr>
            <w:r>
              <w:rPr>
                <w:rFonts w:hint="eastAsia"/>
                <w:b/>
                <w:bCs/>
                <w:szCs w:val="21"/>
              </w:rPr>
              <w:t>2.</w:t>
            </w:r>
            <w:r>
              <w:rPr>
                <w:b/>
                <w:bCs/>
                <w:szCs w:val="21"/>
              </w:rPr>
              <w:t>评分依据：</w:t>
            </w:r>
            <w:r>
              <w:rPr>
                <w:szCs w:val="21"/>
              </w:rPr>
              <w:t>评审委员会根据招标文件的需求和投标文件的响应情况，进行评价及分档评分：</w:t>
            </w:r>
            <w:r>
              <w:rPr>
                <w:rFonts w:hint="eastAsia"/>
                <w:szCs w:val="21"/>
              </w:rPr>
              <w:t xml:space="preserve"> </w:t>
            </w:r>
          </w:p>
          <w:p>
            <w:pPr>
              <w:jc w:val="left"/>
              <w:rPr>
                <w:szCs w:val="21"/>
              </w:rPr>
            </w:pPr>
            <w:r>
              <w:rPr>
                <w:rFonts w:hint="eastAsia"/>
                <w:szCs w:val="21"/>
              </w:rPr>
              <w:t>（1）</w:t>
            </w:r>
            <w:r>
              <w:rPr>
                <w:rFonts w:hint="eastAsia" w:ascii="宋体" w:hAnsi="宋体"/>
                <w:szCs w:val="21"/>
              </w:rPr>
              <w:t>重点难点分析及应对措施</w:t>
            </w:r>
            <w:r>
              <w:rPr>
                <w:rFonts w:hint="eastAsia"/>
                <w:szCs w:val="21"/>
              </w:rPr>
              <w:t xml:space="preserve">全面； </w:t>
            </w:r>
          </w:p>
          <w:p>
            <w:pPr>
              <w:jc w:val="left"/>
              <w:rPr>
                <w:szCs w:val="21"/>
              </w:rPr>
            </w:pPr>
            <w:r>
              <w:rPr>
                <w:rFonts w:hint="eastAsia"/>
                <w:szCs w:val="21"/>
              </w:rPr>
              <w:t>（2）</w:t>
            </w:r>
            <w:r>
              <w:rPr>
                <w:rFonts w:hint="eastAsia" w:ascii="宋体" w:hAnsi="宋体"/>
                <w:szCs w:val="21"/>
              </w:rPr>
              <w:t>重点难点分析及应对措施</w:t>
            </w:r>
            <w:r>
              <w:rPr>
                <w:rFonts w:hint="eastAsia"/>
                <w:szCs w:val="21"/>
              </w:rPr>
              <w:t xml:space="preserve">具体； </w:t>
            </w:r>
          </w:p>
          <w:p>
            <w:pPr>
              <w:jc w:val="left"/>
              <w:rPr>
                <w:szCs w:val="21"/>
              </w:rPr>
            </w:pPr>
            <w:r>
              <w:rPr>
                <w:rFonts w:hint="eastAsia"/>
                <w:szCs w:val="21"/>
              </w:rPr>
              <w:t>（3）</w:t>
            </w:r>
            <w:r>
              <w:rPr>
                <w:rFonts w:hint="eastAsia" w:ascii="宋体" w:hAnsi="宋体"/>
                <w:szCs w:val="21"/>
              </w:rPr>
              <w:t>重点难点分析及应对措施</w:t>
            </w:r>
            <w:r>
              <w:rPr>
                <w:rFonts w:hint="eastAsia"/>
                <w:szCs w:val="21"/>
              </w:rPr>
              <w:t>科学合理；</w:t>
            </w:r>
          </w:p>
          <w:p>
            <w:pPr>
              <w:jc w:val="left"/>
              <w:rPr>
                <w:szCs w:val="21"/>
              </w:rPr>
            </w:pPr>
            <w:r>
              <w:rPr>
                <w:rFonts w:hint="eastAsia"/>
                <w:szCs w:val="21"/>
              </w:rPr>
              <w:t>（4）</w:t>
            </w:r>
            <w:r>
              <w:rPr>
                <w:rFonts w:hint="eastAsia" w:ascii="宋体" w:hAnsi="宋体"/>
                <w:szCs w:val="21"/>
              </w:rPr>
              <w:t>重点难点分析及应对措施</w:t>
            </w:r>
            <w:r>
              <w:rPr>
                <w:rFonts w:hint="eastAsia"/>
                <w:szCs w:val="21"/>
              </w:rPr>
              <w:t>针对性强；</w:t>
            </w:r>
          </w:p>
          <w:p>
            <w:pPr>
              <w:jc w:val="left"/>
              <w:rPr>
                <w:szCs w:val="21"/>
              </w:rPr>
            </w:pPr>
            <w:r>
              <w:rPr>
                <w:rFonts w:hint="eastAsia"/>
                <w:szCs w:val="21"/>
              </w:rPr>
              <w:t>（5）</w:t>
            </w:r>
            <w:r>
              <w:rPr>
                <w:rFonts w:hint="eastAsia" w:ascii="宋体" w:hAnsi="宋体"/>
                <w:szCs w:val="21"/>
              </w:rPr>
              <w:t>重点难点分析及应对措施</w:t>
            </w:r>
            <w:r>
              <w:rPr>
                <w:rFonts w:hint="eastAsia"/>
                <w:szCs w:val="21"/>
              </w:rPr>
              <w:t>可操作性强。</w:t>
            </w:r>
          </w:p>
          <w:p>
            <w:pPr>
              <w:jc w:val="left"/>
              <w:rPr>
                <w:rFonts w:ascii="宋体" w:hAnsi="宋体"/>
              </w:rPr>
            </w:pPr>
            <w:r>
              <w:rPr>
                <w:szCs w:val="21"/>
              </w:rPr>
              <w:t>优评分标准：满足以上五项要求的评价为优，得</w:t>
            </w:r>
            <w:r>
              <w:rPr>
                <w:rFonts w:hint="eastAsia"/>
                <w:szCs w:val="21"/>
              </w:rPr>
              <w:t>分100%</w:t>
            </w:r>
            <w:r>
              <w:rPr>
                <w:szCs w:val="21"/>
              </w:rPr>
              <w:t>； 良评分标准：满足以上四项要求的评价为良，得</w:t>
            </w:r>
            <w:r>
              <w:rPr>
                <w:rFonts w:hint="eastAsia"/>
                <w:szCs w:val="21"/>
              </w:rPr>
              <w:t>分80%</w:t>
            </w:r>
            <w:r>
              <w:rPr>
                <w:szCs w:val="21"/>
              </w:rPr>
              <w:t>； 中评分标准：满足以上三项要求的评价为中，得</w:t>
            </w:r>
            <w:r>
              <w:rPr>
                <w:rFonts w:hint="eastAsia"/>
                <w:szCs w:val="21"/>
              </w:rPr>
              <w:t>分60%</w:t>
            </w:r>
            <w:r>
              <w:rPr>
                <w:szCs w:val="21"/>
              </w:rPr>
              <w:t>； 合格评分标准：满足以上二项要求的评价为中，得</w:t>
            </w:r>
            <w:r>
              <w:rPr>
                <w:rFonts w:hint="eastAsia"/>
                <w:szCs w:val="21"/>
              </w:rPr>
              <w:t>分30%</w:t>
            </w:r>
            <w:r>
              <w:rPr>
                <w:szCs w:val="21"/>
              </w:rPr>
              <w:t>； 差评分标准：上述情况之外的评差，得0 分</w:t>
            </w: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FFFFFF"/>
            <w:vAlign w:val="center"/>
          </w:tcPr>
          <w:p>
            <w:pPr>
              <w:rPr>
                <w:rFonts w:ascii="宋体" w:hAnsi="宋体" w:cs="宋体"/>
                <w:b/>
                <w:bCs/>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Cs w:val="21"/>
              </w:rPr>
            </w:pPr>
            <w:r>
              <w:rPr>
                <w:rFonts w:hint="eastAsia" w:ascii="宋体" w:hAnsi="宋体" w:cs="宋体"/>
                <w:szCs w:val="21"/>
              </w:rPr>
              <w:t>4</w:t>
            </w:r>
          </w:p>
        </w:tc>
        <w:tc>
          <w:tcPr>
            <w:tcW w:w="28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szCs w:val="21"/>
              </w:rPr>
            </w:pPr>
            <w:r>
              <w:rPr>
                <w:rFonts w:hint="eastAsia" w:ascii="宋体" w:hAnsi="宋体"/>
                <w:szCs w:val="21"/>
              </w:rPr>
              <w:t>拟派本项目的团队成员要求</w:t>
            </w:r>
          </w:p>
        </w:tc>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210" w:firstLineChars="100"/>
              <w:jc w:val="left"/>
              <w:rPr>
                <w:szCs w:val="21"/>
              </w:rPr>
            </w:pPr>
            <w:r>
              <w:rPr>
                <w:rFonts w:hint="eastAsia" w:ascii="宋体" w:hAnsi="宋体"/>
                <w:szCs w:val="21"/>
              </w:rPr>
              <w:t>20</w:t>
            </w:r>
          </w:p>
        </w:tc>
        <w:tc>
          <w:tcPr>
            <w:tcW w:w="4228" w:type="dxa"/>
            <w:tcBorders>
              <w:top w:val="single" w:color="000000" w:sz="8" w:space="0"/>
              <w:left w:val="single" w:color="000000" w:sz="8" w:space="0"/>
              <w:bottom w:val="single" w:color="000000" w:sz="8" w:space="0"/>
              <w:right w:val="single" w:color="000000" w:sz="8" w:space="0"/>
            </w:tcBorders>
            <w:shd w:val="clear" w:color="auto" w:fill="FFFFFF"/>
          </w:tcPr>
          <w:p>
            <w:pPr>
              <w:tabs>
                <w:tab w:val="left" w:pos="426"/>
              </w:tabs>
              <w:jc w:val="left"/>
              <w:rPr>
                <w:szCs w:val="21"/>
              </w:rPr>
            </w:pPr>
            <w:r>
              <w:rPr>
                <w:rFonts w:hint="eastAsia"/>
                <w:szCs w:val="21"/>
              </w:rPr>
              <w:t>1.为本项目拟安排项目负责人</w:t>
            </w:r>
          </w:p>
          <w:p>
            <w:pPr>
              <w:rPr>
                <w:szCs w:val="21"/>
              </w:rPr>
            </w:pPr>
            <w:r>
              <w:rPr>
                <w:rFonts w:hint="eastAsia"/>
                <w:szCs w:val="21"/>
              </w:rPr>
              <w:t>（1）具有出版专业高级职称得分20%，其他不得分。</w:t>
            </w:r>
          </w:p>
          <w:p>
            <w:pPr>
              <w:rPr>
                <w:szCs w:val="21"/>
              </w:rPr>
            </w:pPr>
            <w:r>
              <w:rPr>
                <w:rFonts w:hint="eastAsia"/>
                <w:szCs w:val="21"/>
              </w:rPr>
              <w:t>（2）所主持编纂的年鉴获得全国三等以上奖项的得分20%，所主持编纂的年鉴获得广东省一等以上的得分10%，其他不得分，最高得20% 。</w:t>
            </w:r>
          </w:p>
          <w:p>
            <w:pPr>
              <w:jc w:val="left"/>
              <w:rPr>
                <w:szCs w:val="21"/>
              </w:rPr>
            </w:pPr>
          </w:p>
          <w:p>
            <w:pPr>
              <w:tabs>
                <w:tab w:val="left" w:pos="426"/>
              </w:tabs>
              <w:jc w:val="left"/>
              <w:rPr>
                <w:szCs w:val="21"/>
              </w:rPr>
            </w:pPr>
            <w:r>
              <w:rPr>
                <w:rFonts w:hint="eastAsia"/>
                <w:szCs w:val="21"/>
              </w:rPr>
              <w:t>2.为本项目拟安排团队（不少于4人，不包含项目负责人）</w:t>
            </w:r>
          </w:p>
          <w:p>
            <w:pPr>
              <w:rPr>
                <w:szCs w:val="21"/>
              </w:rPr>
            </w:pPr>
            <w:r>
              <w:rPr>
                <w:rFonts w:hint="eastAsia"/>
                <w:szCs w:val="21"/>
              </w:rPr>
              <w:t>（1）每位成员具有出版专业中级以上职称得分10%，最高得40%。</w:t>
            </w:r>
          </w:p>
          <w:p>
            <w:pPr>
              <w:rPr>
                <w:szCs w:val="21"/>
              </w:rPr>
            </w:pPr>
            <w:r>
              <w:rPr>
                <w:rFonts w:hint="eastAsia"/>
                <w:szCs w:val="21"/>
              </w:rPr>
              <w:t>（2）成员具有市级或以上作协成员得分20%。</w:t>
            </w:r>
          </w:p>
          <w:p>
            <w:pPr>
              <w:pStyle w:val="2"/>
              <w:ind w:firstLine="0" w:firstLineChars="0"/>
            </w:pPr>
          </w:p>
          <w:p>
            <w:pPr>
              <w:rPr>
                <w:rFonts w:ascii="宋体" w:hAnsi="宋体" w:cs="宋体"/>
                <w:b/>
                <w:kern w:val="0"/>
                <w:szCs w:val="21"/>
              </w:rPr>
            </w:pPr>
            <w:r>
              <w:rPr>
                <w:rFonts w:hint="eastAsia" w:ascii="宋体" w:hAnsi="宋体" w:cs="宋体"/>
                <w:b/>
                <w:kern w:val="0"/>
                <w:szCs w:val="21"/>
              </w:rPr>
              <w:t>证明文件：</w:t>
            </w:r>
          </w:p>
          <w:p>
            <w:pPr>
              <w:numPr>
                <w:ilvl w:val="0"/>
                <w:numId w:val="3"/>
              </w:numPr>
              <w:ind w:left="0"/>
              <w:rPr>
                <w:rFonts w:ascii="宋体" w:hAnsi="宋体" w:cs="宋体"/>
                <w:kern w:val="0"/>
                <w:szCs w:val="21"/>
              </w:rPr>
            </w:pPr>
            <w:r>
              <w:rPr>
                <w:rFonts w:hint="eastAsia" w:ascii="宋体" w:hAnsi="宋体" w:cs="宋体"/>
                <w:kern w:val="0"/>
                <w:szCs w:val="21"/>
              </w:rPr>
              <w:t>提供人员的职称证书扫描件。</w:t>
            </w:r>
          </w:p>
          <w:p>
            <w:pPr>
              <w:numPr>
                <w:ilvl w:val="0"/>
                <w:numId w:val="3"/>
              </w:numPr>
              <w:ind w:left="0"/>
              <w:rPr>
                <w:rFonts w:ascii="宋体" w:hAnsi="宋体" w:cs="宋体"/>
                <w:kern w:val="0"/>
                <w:szCs w:val="21"/>
              </w:rPr>
            </w:pPr>
            <w:r>
              <w:rPr>
                <w:rFonts w:hint="eastAsia" w:ascii="宋体" w:hAnsi="宋体" w:cs="宋体"/>
                <w:kern w:val="0"/>
                <w:szCs w:val="21"/>
              </w:rPr>
              <w:t>提供个人业绩（获奖证书或评奖部门颁发的文件、获奖年鉴编纂人员名单）的扫描件，如不能体现须提供业绩工作单位证明扫描件。</w:t>
            </w:r>
          </w:p>
          <w:p>
            <w:pPr>
              <w:rPr>
                <w:rFonts w:ascii="宋体" w:hAnsi="宋体"/>
              </w:rPr>
            </w:pPr>
            <w:r>
              <w:rPr>
                <w:rFonts w:hint="eastAsia"/>
                <w:b/>
                <w:bCs/>
                <w:szCs w:val="21"/>
              </w:rPr>
              <w:t>未按要求提供或提供不清晰导致专家无法判断的不得分，原件备查。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left w:val="single" w:color="000000" w:sz="8" w:space="0"/>
              <w:right w:val="single" w:color="000000" w:sz="8" w:space="0"/>
            </w:tcBorders>
            <w:shd w:val="clear" w:color="auto" w:fill="FFFFFF"/>
            <w:vAlign w:val="center"/>
          </w:tcPr>
          <w:p>
            <w:pPr>
              <w:rPr>
                <w:rFonts w:ascii="宋体" w:hAnsi="宋体" w:cs="宋体"/>
                <w:b/>
                <w:bCs/>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Cs w:val="21"/>
              </w:rPr>
            </w:pPr>
            <w:r>
              <w:rPr>
                <w:rFonts w:hint="eastAsia" w:ascii="宋体" w:hAnsi="宋体" w:cs="宋体"/>
                <w:szCs w:val="21"/>
              </w:rPr>
              <w:t>5</w:t>
            </w:r>
          </w:p>
        </w:tc>
        <w:tc>
          <w:tcPr>
            <w:tcW w:w="28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szCs w:val="21"/>
              </w:rPr>
            </w:pPr>
            <w:r>
              <w:rPr>
                <w:rFonts w:hint="eastAsia" w:ascii="宋体" w:hAnsi="宋体"/>
                <w:szCs w:val="21"/>
              </w:rPr>
              <w:t>拟派本项目的驻点服务人员及素质要求</w:t>
            </w:r>
          </w:p>
        </w:tc>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szCs w:val="21"/>
              </w:rPr>
            </w:pPr>
            <w:r>
              <w:rPr>
                <w:rFonts w:hint="eastAsia"/>
                <w:szCs w:val="21"/>
              </w:rPr>
              <w:t>20</w:t>
            </w:r>
          </w:p>
        </w:tc>
        <w:tc>
          <w:tcPr>
            <w:tcW w:w="42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jc w:val="left"/>
              <w:rPr>
                <w:szCs w:val="21"/>
              </w:rPr>
            </w:pPr>
            <w:r>
              <w:rPr>
                <w:rFonts w:hint="eastAsia"/>
              </w:rPr>
              <w:t>长期驻点工作人员要求全日制本科以上学历，中文或广告学专业优先，有从事相关文字工作经验5年以上，有较强的文字功底，需有政府机关工作经历，精通ID、AI、PPT等排版设计软件</w:t>
            </w:r>
          </w:p>
          <w:p>
            <w:pPr>
              <w:pStyle w:val="2"/>
              <w:rPr>
                <w:szCs w:val="21"/>
              </w:rPr>
            </w:pPr>
            <w:r>
              <w:rPr>
                <w:rFonts w:hint="eastAsia"/>
                <w:szCs w:val="21"/>
              </w:rPr>
              <w:t>（1）具有全日制本科学历以上</w:t>
            </w:r>
            <w:r>
              <w:rPr>
                <w:rFonts w:hint="eastAsia"/>
                <w:szCs w:val="21"/>
                <w:lang w:eastAsia="zh-CN"/>
              </w:rPr>
              <w:t>、</w:t>
            </w:r>
            <w:r>
              <w:rPr>
                <w:rFonts w:hint="eastAsia"/>
                <w:szCs w:val="21"/>
              </w:rPr>
              <w:t>中文或广告学专业得分40%，其他不得分。</w:t>
            </w:r>
          </w:p>
          <w:p>
            <w:pPr>
              <w:pStyle w:val="2"/>
              <w:rPr>
                <w:szCs w:val="21"/>
              </w:rPr>
            </w:pPr>
            <w:r>
              <w:rPr>
                <w:rFonts w:hint="eastAsia"/>
                <w:szCs w:val="21"/>
              </w:rPr>
              <w:t>（2）有从事相关文字工作经验5年以上，有较强的文字功底，有政府机关工作经历的得分30%，其他专业不得分。</w:t>
            </w:r>
          </w:p>
          <w:p>
            <w:pPr>
              <w:pStyle w:val="2"/>
            </w:pPr>
            <w:r>
              <w:rPr>
                <w:rFonts w:hint="eastAsia"/>
                <w:szCs w:val="21"/>
              </w:rPr>
              <w:t>（3）</w:t>
            </w:r>
            <w:r>
              <w:rPr>
                <w:rFonts w:hint="eastAsia"/>
              </w:rPr>
              <w:t>精通ID、AI、PPT等排版设计软件得分30%。</w:t>
            </w:r>
          </w:p>
          <w:p>
            <w:pPr>
              <w:pStyle w:val="2"/>
              <w:rPr>
                <w:rFonts w:hint="eastAsia" w:ascii="宋体" w:hAnsi="宋体" w:cs="宋体"/>
                <w:b/>
                <w:kern w:val="0"/>
                <w:szCs w:val="21"/>
              </w:rPr>
            </w:pPr>
            <w:r>
              <w:rPr>
                <w:rFonts w:hint="eastAsia" w:ascii="宋体" w:hAnsi="宋体" w:cs="宋体"/>
                <w:b/>
                <w:kern w:val="0"/>
                <w:szCs w:val="21"/>
              </w:rPr>
              <w:t>证明文件：</w:t>
            </w:r>
          </w:p>
          <w:p>
            <w:pPr>
              <w:pStyle w:val="2"/>
            </w:pPr>
            <w:r>
              <w:rPr>
                <w:rFonts w:hint="eastAsia"/>
                <w:b/>
                <w:bCs/>
                <w:szCs w:val="21"/>
              </w:rPr>
              <w:t>需提供符合条件驻点人员个人简历等相关资料</w:t>
            </w:r>
            <w:r>
              <w:rPr>
                <w:rFonts w:hint="eastAsia" w:ascii="宋体" w:hAnsi="宋体" w:cs="宋体"/>
                <w:kern w:val="0"/>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shd w:val="clear" w:color="auto" w:fill="FFFFFF"/>
          </w:tcPr>
          <w:p>
            <w:pPr>
              <w:wordWrap w:val="0"/>
              <w:jc w:val="center"/>
              <w:rPr>
                <w:rFonts w:ascii="宋体" w:hAnsi="宋体" w:cs="宋体"/>
                <w:b/>
                <w:bCs/>
                <w:sz w:val="24"/>
              </w:rPr>
            </w:pPr>
            <w:r>
              <w:rPr>
                <w:b/>
                <w:bCs/>
                <w:color w:val="0000FF"/>
              </w:rPr>
              <w:t>4</w:t>
            </w:r>
          </w:p>
        </w:tc>
        <w:tc>
          <w:tcPr>
            <w:tcW w:w="4164" w:type="dxa"/>
            <w:gridSpan w:val="3"/>
            <w:tcBorders>
              <w:top w:val="outset" w:color="000000" w:sz="6" w:space="0"/>
              <w:left w:val="outset" w:color="000000" w:sz="6" w:space="0"/>
              <w:bottom w:val="outset" w:color="000000" w:sz="6" w:space="0"/>
              <w:right w:val="outset" w:color="000000" w:sz="6" w:space="0"/>
            </w:tcBorders>
            <w:shd w:val="clear" w:color="auto" w:fill="C7DAF1"/>
          </w:tcPr>
          <w:p>
            <w:pPr>
              <w:wordWrap w:val="0"/>
              <w:jc w:val="center"/>
              <w:rPr>
                <w:b/>
                <w:bCs/>
              </w:rPr>
            </w:pPr>
            <w:r>
              <w:rPr>
                <w:b/>
                <w:bCs/>
                <w:color w:val="0000FF"/>
              </w:rPr>
              <w:t>诚信</w:t>
            </w:r>
          </w:p>
        </w:tc>
        <w:tc>
          <w:tcPr>
            <w:tcW w:w="4228" w:type="dxa"/>
            <w:tcBorders>
              <w:top w:val="outset" w:color="000000" w:sz="6" w:space="0"/>
              <w:left w:val="outset" w:color="000000" w:sz="6" w:space="0"/>
              <w:bottom w:val="outset" w:color="000000" w:sz="6" w:space="0"/>
              <w:right w:val="outset" w:color="000000" w:sz="6" w:space="0"/>
            </w:tcBorders>
            <w:shd w:val="clear" w:color="auto" w:fill="C7DAF1"/>
          </w:tcPr>
          <w:p>
            <w:pPr>
              <w:wordWrap w:val="0"/>
              <w:jc w:val="center"/>
              <w:rPr>
                <w:b/>
                <w:bCs/>
              </w:rPr>
            </w:pPr>
            <w:r>
              <w:rPr>
                <w:b/>
                <w:bCs/>
                <w:color w:val="0000FF"/>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FFFFFF"/>
            <w:vAlign w:val="center"/>
          </w:tcPr>
          <w:p>
            <w:pPr>
              <w:rPr>
                <w:b/>
                <w:bCs/>
              </w:rPr>
            </w:pPr>
          </w:p>
        </w:tc>
        <w:tc>
          <w:tcPr>
            <w:tcW w:w="8392" w:type="dxa"/>
            <w:gridSpan w:val="4"/>
            <w:tcBorders>
              <w:top w:val="outset" w:color="000000" w:sz="6" w:space="0"/>
              <w:left w:val="outset" w:color="000000" w:sz="6" w:space="0"/>
              <w:bottom w:val="outset" w:color="000000" w:sz="6" w:space="0"/>
              <w:right w:val="outset" w:color="000000" w:sz="6" w:space="0"/>
            </w:tcBorders>
            <w:shd w:val="clear" w:color="auto" w:fill="FFFFFF"/>
          </w:tcPr>
          <w:p>
            <w:pPr>
              <w:wordWrap w:val="0"/>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FFFFFF"/>
            <w:vAlign w:val="center"/>
          </w:tcPr>
          <w:p>
            <w:pPr>
              <w:rPr>
                <w:rFonts w:ascii="宋体" w:hAnsi="宋体" w:cs="宋体"/>
                <w:b/>
                <w:bCs/>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ordWrap w:val="0"/>
              <w:jc w:val="center"/>
              <w:rPr>
                <w:rFonts w:ascii="宋体" w:hAnsi="宋体" w:cs="宋体"/>
                <w:szCs w:val="21"/>
              </w:rPr>
            </w:pPr>
            <w:r>
              <w:rPr>
                <w:szCs w:val="21"/>
              </w:rPr>
              <w:t>评分因素</w:t>
            </w:r>
          </w:p>
        </w:tc>
        <w:tc>
          <w:tcPr>
            <w:tcW w:w="6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ordWrap w:val="0"/>
              <w:jc w:val="center"/>
              <w:rPr>
                <w:rFonts w:ascii="宋体" w:hAnsi="宋体" w:cs="宋体"/>
                <w:szCs w:val="21"/>
              </w:rPr>
            </w:pPr>
            <w:r>
              <w:rPr>
                <w:szCs w:val="21"/>
              </w:rPr>
              <w:t>权重</w:t>
            </w:r>
          </w:p>
        </w:tc>
        <w:tc>
          <w:tcPr>
            <w:tcW w:w="42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FFFFFF"/>
            <w:vAlign w:val="center"/>
          </w:tcPr>
          <w:p>
            <w:pPr>
              <w:rPr>
                <w:rFonts w:ascii="宋体" w:hAnsi="宋体" w:cs="宋体"/>
                <w:b/>
                <w:bCs/>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FFFFFF"/>
          </w:tcPr>
          <w:p>
            <w:pPr>
              <w:wordWrap w:val="0"/>
              <w:jc w:val="center"/>
              <w:rPr>
                <w:rFonts w:ascii="宋体" w:hAnsi="宋体" w:cs="宋体"/>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shd w:val="clear" w:color="auto" w:fill="FFFFFF"/>
          </w:tcPr>
          <w:p>
            <w:pPr>
              <w:wordWrap w:val="0"/>
              <w:jc w:val="center"/>
              <w:rPr>
                <w:rFonts w:ascii="宋体" w:hAnsi="宋体" w:cs="宋体"/>
                <w:szCs w:val="21"/>
              </w:rPr>
            </w:pPr>
            <w:r>
              <w:rPr>
                <w:szCs w:val="21"/>
              </w:rPr>
              <w:t>诚信情况</w:t>
            </w:r>
          </w:p>
        </w:tc>
        <w:tc>
          <w:tcPr>
            <w:tcW w:w="649" w:type="dxa"/>
            <w:tcBorders>
              <w:top w:val="single" w:color="000000" w:sz="8" w:space="0"/>
              <w:left w:val="single" w:color="000000" w:sz="8" w:space="0"/>
              <w:bottom w:val="single" w:color="000000" w:sz="8" w:space="0"/>
              <w:right w:val="single" w:color="000000" w:sz="8" w:space="0"/>
            </w:tcBorders>
            <w:shd w:val="clear" w:color="auto" w:fill="FFFFFF"/>
          </w:tcPr>
          <w:p>
            <w:pPr>
              <w:wordWrap w:val="0"/>
              <w:jc w:val="center"/>
              <w:rPr>
                <w:rFonts w:ascii="宋体" w:hAnsi="宋体" w:cs="宋体"/>
                <w:szCs w:val="21"/>
              </w:rPr>
            </w:pPr>
            <w:r>
              <w:rPr>
                <w:szCs w:val="21"/>
              </w:rPr>
              <w:t>5</w:t>
            </w:r>
          </w:p>
        </w:tc>
        <w:tc>
          <w:tcPr>
            <w:tcW w:w="4228" w:type="dxa"/>
            <w:tcBorders>
              <w:top w:val="single" w:color="000000" w:sz="8" w:space="0"/>
              <w:left w:val="single" w:color="000000" w:sz="8" w:space="0"/>
              <w:bottom w:val="single" w:color="000000" w:sz="8" w:space="0"/>
              <w:right w:val="single" w:color="000000" w:sz="8" w:space="0"/>
            </w:tcBorders>
            <w:shd w:val="clear" w:color="auto" w:fill="FFFFFF"/>
          </w:tcPr>
          <w:p>
            <w:pPr>
              <w:jc w:val="left"/>
            </w:pPr>
            <w:r>
              <w:rPr>
                <w:rFonts w:hint="eastAsia"/>
              </w:rPr>
              <w:t>投标人在参与政府采购活动中出现诚信相关问题且在相关主管部门处理措施实施期限内的本项不得分，否则得满分。（须提供《诚信承诺函》原件加盖投标人公章，不提供不得分。如被认定提供的陈述与事实不符的，依法追究其责任。</w:t>
            </w:r>
          </w:p>
          <w:p>
            <w:r>
              <w:rPr>
                <w:rFonts w:hint="eastAsia" w:ascii="宋体" w:hAnsi="宋体" w:cs="宋体"/>
                <w:b/>
                <w:kern w:val="0"/>
                <w:szCs w:val="21"/>
              </w:rPr>
              <w:t>证明文件：</w:t>
            </w:r>
            <w:r>
              <w:rPr>
                <w:rFonts w:hint="eastAsia"/>
                <w:szCs w:val="21"/>
              </w:rPr>
              <w:t>提供诚信承诺函。</w:t>
            </w:r>
          </w:p>
        </w:tc>
      </w:tr>
    </w:tbl>
    <w:p>
      <w:pPr>
        <w:pStyle w:val="4"/>
        <w:widowControl/>
        <w:shd w:val="clear" w:color="auto" w:fill="FFFFFF"/>
        <w:spacing w:before="0" w:beforeAutospacing="0" w:after="0" w:afterAutospacing="0" w:line="480" w:lineRule="atLeast"/>
        <w:jc w:val="center"/>
        <w:rPr>
          <w:rFonts w:ascii="黑体" w:hAnsi="黑体" w:eastAsia="黑体" w:cs="黑体"/>
          <w:sz w:val="32"/>
          <w:szCs w:val="32"/>
        </w:rPr>
      </w:pPr>
    </w:p>
    <w:p>
      <w:pPr>
        <w:rPr>
          <w:rFonts w:ascii="微软雅黑" w:hAnsi="微软雅黑" w:eastAsia="微软雅黑" w:cs="微软雅黑"/>
          <w:szCs w:val="21"/>
        </w:rPr>
      </w:pPr>
      <w:r>
        <w:rPr>
          <w:rFonts w:hint="eastAsia" w:ascii="微软雅黑" w:hAnsi="微软雅黑" w:eastAsia="微软雅黑" w:cs="微软雅黑"/>
          <w:szCs w:val="21"/>
        </w:rPr>
        <w:t>注：</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 每一项的得分均不能超过该项最高分值。</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2. 缺项则该项为0分或不合格为0分。</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3. 价格、技术、商务部分为针对项目具体情况设置项目，累加满分为100分。</w:t>
      </w:r>
    </w:p>
    <w:p>
      <w:pPr>
        <w:ind w:firstLine="420" w:firstLineChars="200"/>
        <w:rPr>
          <w:rFonts w:ascii="仿宋_GB2312" w:hAnsi="仿宋_GB2312" w:eastAsia="仿宋_GB2312" w:cs="仿宋_GB2312"/>
          <w:sz w:val="32"/>
          <w:szCs w:val="32"/>
        </w:rPr>
      </w:pPr>
      <w:r>
        <w:rPr>
          <w:rFonts w:hint="eastAsia" w:ascii="微软雅黑" w:hAnsi="微软雅黑" w:eastAsia="微软雅黑" w:cs="微软雅黑"/>
          <w:szCs w:val="21"/>
        </w:rPr>
        <w:t>4. 综合以上</w:t>
      </w:r>
      <w:r>
        <w:rPr>
          <w:rFonts w:hint="eastAsia" w:ascii="微软雅黑" w:hAnsi="微软雅黑" w:eastAsia="微软雅黑" w:cs="微软雅黑"/>
          <w:snapToGrid w:val="0"/>
          <w:kern w:val="0"/>
          <w:szCs w:val="21"/>
        </w:rPr>
        <w:t>分析比较，评委会将对各投标文件进行书面的量化评定，得分精确到小数点后两位。</w:t>
      </w:r>
    </w:p>
    <w:p>
      <w:pPr>
        <w:spacing w:line="720" w:lineRule="exact"/>
        <w:jc w:val="left"/>
        <w:rPr>
          <w:rFonts w:ascii="黑体" w:hAnsi="黑体" w:eastAsia="黑体" w:cs="黑体"/>
          <w:sz w:val="32"/>
          <w:szCs w:val="32"/>
        </w:rPr>
      </w:pPr>
    </w:p>
    <w:p/>
    <w:sectPr>
      <w:footerReference r:id="rId3" w:type="default"/>
      <w:pgSz w:w="11906" w:h="16838"/>
      <w:pgMar w:top="2098" w:right="1587" w:bottom="153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82962"/>
    <w:multiLevelType w:val="multilevel"/>
    <w:tmpl w:val="02E829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2F552F"/>
    <w:multiLevelType w:val="multilevel"/>
    <w:tmpl w:val="192F55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34F7D83"/>
    <w:multiLevelType w:val="multilevel"/>
    <w:tmpl w:val="734F7D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52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2021-06-30T09:55:48Z</dcterms:created>
  <dc:creator>Administrator</dc:creator>
  <cp:lastModifiedBy>董克源</cp:lastModifiedBy>
  <dcterms:modified xsi:type="dcterms:W3CDTF">2021-06-30T09:55:58Z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F92C0CEFD9284705902EB8C2BBCE0185</vt:lpwstr>
  </property>
</Properties>
</file>