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评分细则表</w:t>
      </w:r>
      <w:bookmarkStart w:id="0" w:name="_GoBack"/>
      <w:bookmarkEnd w:id="0"/>
    </w:p>
    <w:p>
      <w:pPr>
        <w:pStyle w:val="2"/>
        <w:rPr>
          <w:rFonts w:hint="eastAsia"/>
          <w:lang w:val="en-US" w:eastAsia="zh-CN"/>
        </w:rPr>
      </w:pPr>
    </w:p>
    <w:tbl>
      <w:tblPr>
        <w:tblStyle w:val="4"/>
        <w:tblW w:w="10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788"/>
        <w:gridCol w:w="1290"/>
        <w:gridCol w:w="6525"/>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blHeader/>
          <w:jc w:val="center"/>
        </w:trPr>
        <w:tc>
          <w:tcPr>
            <w:tcW w:w="1314" w:type="dxa"/>
            <w:noWrap w:val="0"/>
            <w:vAlign w:val="center"/>
          </w:tcPr>
          <w:p>
            <w:pPr>
              <w:ind w:left="0" w:leftChars="0" w:firstLine="0" w:firstLineChars="0"/>
              <w:jc w:val="both"/>
              <w:rPr>
                <w:rFonts w:hint="eastAsia"/>
                <w:b/>
                <w:bCs/>
                <w:sz w:val="24"/>
                <w:szCs w:val="24"/>
              </w:rPr>
            </w:pPr>
            <w:r>
              <w:rPr>
                <w:rFonts w:hint="eastAsia"/>
                <w:b/>
                <w:bCs/>
                <w:sz w:val="24"/>
                <w:szCs w:val="24"/>
                <w:highlight w:val="none"/>
              </w:rPr>
              <w:t>评分因素</w:t>
            </w:r>
          </w:p>
        </w:tc>
        <w:tc>
          <w:tcPr>
            <w:tcW w:w="788" w:type="dxa"/>
            <w:noWrap w:val="0"/>
            <w:vAlign w:val="center"/>
          </w:tcPr>
          <w:p>
            <w:pPr>
              <w:ind w:left="0" w:leftChars="0" w:firstLine="0" w:firstLineChars="0"/>
              <w:jc w:val="both"/>
              <w:rPr>
                <w:rFonts w:hint="eastAsia"/>
                <w:b/>
                <w:bCs/>
                <w:sz w:val="24"/>
                <w:szCs w:val="24"/>
              </w:rPr>
            </w:pPr>
            <w:r>
              <w:rPr>
                <w:rFonts w:hint="eastAsia"/>
                <w:b/>
                <w:bCs/>
                <w:sz w:val="24"/>
                <w:szCs w:val="24"/>
                <w:highlight w:val="none"/>
              </w:rPr>
              <w:t>分值</w:t>
            </w:r>
          </w:p>
        </w:tc>
        <w:tc>
          <w:tcPr>
            <w:tcW w:w="1290" w:type="dxa"/>
            <w:noWrap w:val="0"/>
            <w:vAlign w:val="center"/>
          </w:tcPr>
          <w:p>
            <w:pPr>
              <w:ind w:left="0" w:leftChars="0" w:firstLine="0" w:firstLineChars="0"/>
              <w:jc w:val="both"/>
              <w:rPr>
                <w:rFonts w:hint="eastAsia"/>
                <w:b/>
                <w:bCs/>
                <w:sz w:val="24"/>
                <w:szCs w:val="24"/>
              </w:rPr>
            </w:pPr>
            <w:r>
              <w:rPr>
                <w:rFonts w:hint="eastAsia"/>
                <w:b/>
                <w:bCs/>
                <w:sz w:val="24"/>
                <w:szCs w:val="24"/>
                <w:highlight w:val="none"/>
              </w:rPr>
              <w:t>评分内容</w:t>
            </w:r>
          </w:p>
        </w:tc>
        <w:tc>
          <w:tcPr>
            <w:tcW w:w="6525" w:type="dxa"/>
            <w:noWrap w:val="0"/>
            <w:vAlign w:val="center"/>
          </w:tcPr>
          <w:p>
            <w:pPr>
              <w:jc w:val="center"/>
              <w:rPr>
                <w:rFonts w:hint="eastAsia"/>
                <w:b/>
                <w:bCs/>
                <w:sz w:val="24"/>
                <w:szCs w:val="24"/>
              </w:rPr>
            </w:pPr>
            <w:r>
              <w:rPr>
                <w:rFonts w:hint="eastAsia"/>
                <w:b/>
                <w:bCs/>
                <w:sz w:val="24"/>
                <w:szCs w:val="24"/>
                <w:highlight w:val="none"/>
              </w:rPr>
              <w:t>评  分  标  准</w:t>
            </w:r>
          </w:p>
        </w:tc>
        <w:tc>
          <w:tcPr>
            <w:tcW w:w="977" w:type="dxa"/>
            <w:noWrap w:val="0"/>
            <w:vAlign w:val="center"/>
          </w:tcPr>
          <w:p>
            <w:pPr>
              <w:ind w:left="0" w:leftChars="0" w:firstLine="0" w:firstLineChars="0"/>
              <w:jc w:val="both"/>
              <w:rPr>
                <w:rFonts w:hint="eastAsia"/>
                <w:b/>
                <w:bCs/>
                <w:szCs w:val="32"/>
              </w:rPr>
            </w:pPr>
            <w:r>
              <w:rPr>
                <w:rFonts w:hint="eastAsia"/>
                <w:b/>
                <w:bCs/>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1314" w:type="dxa"/>
            <w:noWrap w:val="0"/>
            <w:vAlign w:val="center"/>
          </w:tcPr>
          <w:p>
            <w:pPr>
              <w:spacing w:line="24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报价</w:t>
            </w:r>
          </w:p>
          <w:p>
            <w:pPr>
              <w:spacing w:line="24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部分</w:t>
            </w:r>
          </w:p>
          <w:p>
            <w:pPr>
              <w:spacing w:line="24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（A）</w:t>
            </w:r>
          </w:p>
        </w:tc>
        <w:tc>
          <w:tcPr>
            <w:tcW w:w="788" w:type="dxa"/>
            <w:noWrap w:val="0"/>
            <w:vAlign w:val="center"/>
          </w:tcPr>
          <w:p>
            <w:pPr>
              <w:spacing w:line="24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lang w:val="en-US" w:eastAsia="zh-CN"/>
              </w:rPr>
              <w:t>25</w:t>
            </w:r>
            <w:r>
              <w:rPr>
                <w:rFonts w:hint="eastAsia" w:ascii="宋体" w:hAnsi="宋体" w:eastAsia="宋体" w:cs="宋体"/>
                <w:sz w:val="21"/>
                <w:szCs w:val="21"/>
              </w:rPr>
              <w:t>分</w:t>
            </w:r>
          </w:p>
        </w:tc>
        <w:tc>
          <w:tcPr>
            <w:tcW w:w="1290" w:type="dxa"/>
            <w:noWrap w:val="0"/>
            <w:vAlign w:val="center"/>
          </w:tcPr>
          <w:p>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报价</w:t>
            </w:r>
          </w:p>
          <w:p>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得分</w:t>
            </w:r>
          </w:p>
          <w:p>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25</w:t>
            </w:r>
            <w:r>
              <w:rPr>
                <w:rFonts w:hint="eastAsia" w:ascii="宋体" w:hAnsi="宋体" w:eastAsia="宋体" w:cs="宋体"/>
                <w:sz w:val="21"/>
                <w:szCs w:val="21"/>
              </w:rPr>
              <w:t>分）</w:t>
            </w:r>
          </w:p>
        </w:tc>
        <w:tc>
          <w:tcPr>
            <w:tcW w:w="6525" w:type="dxa"/>
            <w:noWrap w:val="0"/>
            <w:vAlign w:val="top"/>
          </w:tcPr>
          <w:p>
            <w:pPr>
              <w:spacing w:line="24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报价得分按照低价优先法计算，即满足采购招标需求且方案报价最低的投标人报价为评标基准价，其价格分为满分，其他供应商的价格得分统一按照下列公式计算：报价得分=(评标基准价／方案报价)×</w:t>
            </w:r>
            <w:r>
              <w:rPr>
                <w:rFonts w:hint="eastAsia" w:ascii="宋体" w:hAnsi="宋体" w:eastAsia="宋体" w:cs="宋体"/>
                <w:sz w:val="21"/>
                <w:szCs w:val="21"/>
                <w:lang w:val="en-US" w:eastAsia="zh-CN"/>
              </w:rPr>
              <w:t>25</w:t>
            </w:r>
            <w:r>
              <w:rPr>
                <w:rFonts w:hint="eastAsia" w:ascii="宋体" w:hAnsi="宋体" w:eastAsia="宋体" w:cs="宋体"/>
                <w:sz w:val="21"/>
                <w:szCs w:val="21"/>
              </w:rPr>
              <w:t>。</w:t>
            </w:r>
          </w:p>
        </w:tc>
        <w:tc>
          <w:tcPr>
            <w:tcW w:w="977" w:type="dxa"/>
            <w:noWrap w:val="0"/>
            <w:vAlign w:val="top"/>
          </w:tcPr>
          <w:p>
            <w:pPr>
              <w:spacing w:line="240" w:lineRule="auto"/>
              <w:ind w:firstLine="0" w:firstLineChars="0"/>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1314" w:type="dxa"/>
            <w:vMerge w:val="restart"/>
            <w:noWrap w:val="0"/>
            <w:vAlign w:val="center"/>
          </w:tcPr>
          <w:p>
            <w:pPr>
              <w:spacing w:line="24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技术部分</w:t>
            </w:r>
          </w:p>
          <w:p>
            <w:pPr>
              <w:spacing w:line="24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（B）</w:t>
            </w:r>
          </w:p>
        </w:tc>
        <w:tc>
          <w:tcPr>
            <w:tcW w:w="788" w:type="dxa"/>
            <w:vMerge w:val="restart"/>
            <w:noWrap w:val="0"/>
            <w:vAlign w:val="center"/>
          </w:tcPr>
          <w:p>
            <w:pPr>
              <w:spacing w:line="24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lang w:val="en-US" w:eastAsia="zh-CN"/>
              </w:rPr>
              <w:t>45</w:t>
            </w:r>
            <w:r>
              <w:rPr>
                <w:rFonts w:hint="eastAsia" w:ascii="宋体" w:hAnsi="宋体" w:eastAsia="宋体" w:cs="宋体"/>
                <w:sz w:val="21"/>
                <w:szCs w:val="21"/>
              </w:rPr>
              <w:t>分</w:t>
            </w:r>
          </w:p>
        </w:tc>
        <w:tc>
          <w:tcPr>
            <w:tcW w:w="1290" w:type="dxa"/>
            <w:noWrap w:val="0"/>
            <w:vAlign w:val="center"/>
          </w:tcPr>
          <w:p>
            <w:pPr>
              <w:spacing w:line="240" w:lineRule="auto"/>
              <w:ind w:firstLine="420" w:firstLineChars="200"/>
              <w:jc w:val="center"/>
              <w:rPr>
                <w:rFonts w:hint="eastAsia" w:ascii="宋体" w:hAnsi="宋体" w:eastAsia="宋体" w:cs="宋体"/>
                <w:sz w:val="21"/>
                <w:szCs w:val="21"/>
              </w:rPr>
            </w:pPr>
            <w:r>
              <w:rPr>
                <w:rFonts w:hint="eastAsia" w:ascii="宋体" w:hAnsi="宋体" w:eastAsia="宋体" w:cs="宋体"/>
                <w:sz w:val="21"/>
                <w:szCs w:val="21"/>
              </w:rPr>
              <w:t>B1、对项目的认识和分析（15分）</w:t>
            </w:r>
          </w:p>
        </w:tc>
        <w:tc>
          <w:tcPr>
            <w:tcW w:w="6525" w:type="dxa"/>
            <w:noWrap w:val="0"/>
            <w:vAlign w:val="top"/>
          </w:tcPr>
          <w:p>
            <w:pPr>
              <w:spacing w:line="240" w:lineRule="auto"/>
              <w:ind w:firstLine="42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对</w:t>
            </w:r>
            <w:r>
              <w:rPr>
                <w:rFonts w:hint="eastAsia" w:ascii="宋体" w:hAnsi="宋体" w:eastAsia="宋体" w:cs="宋体"/>
                <w:sz w:val="21"/>
                <w:szCs w:val="21"/>
              </w:rPr>
              <w:t>服务项目工作的重难点认识与分析全面、对应措施及建议合理、相关政策解读专业深刻等进行横向比较和评价。评价为优得15分；评价为良得10分；评价为中得5分；评价为差得0分</w:t>
            </w:r>
            <w:r>
              <w:rPr>
                <w:rFonts w:hint="eastAsia" w:ascii="宋体" w:hAnsi="宋体" w:eastAsia="宋体" w:cs="宋体"/>
                <w:sz w:val="21"/>
                <w:szCs w:val="21"/>
                <w:lang w:eastAsia="zh-CN"/>
              </w:rPr>
              <w:t>。</w:t>
            </w:r>
          </w:p>
          <w:p>
            <w:pPr>
              <w:spacing w:line="240" w:lineRule="auto"/>
              <w:ind w:firstLine="0" w:firstLineChars="0"/>
              <w:jc w:val="left"/>
              <w:rPr>
                <w:rFonts w:ascii="宋体" w:hAnsi="宋体" w:eastAsia="宋体" w:cs="宋体"/>
                <w:sz w:val="21"/>
                <w:szCs w:val="21"/>
              </w:rPr>
            </w:pPr>
            <w:r>
              <w:rPr>
                <w:rFonts w:hint="eastAsia" w:ascii="宋体" w:hAnsi="宋体" w:eastAsia="宋体" w:cs="宋体"/>
                <w:sz w:val="21"/>
                <w:szCs w:val="21"/>
              </w:rPr>
              <w:t>1.工作重点、难点的分析思路明确，逻辑清晰；</w:t>
            </w:r>
          </w:p>
          <w:p>
            <w:pPr>
              <w:spacing w:line="240" w:lineRule="auto"/>
              <w:ind w:firstLine="0" w:firstLineChars="0"/>
              <w:jc w:val="left"/>
              <w:rPr>
                <w:rFonts w:ascii="宋体" w:hAnsi="宋体" w:eastAsia="宋体" w:cs="宋体"/>
                <w:sz w:val="21"/>
                <w:szCs w:val="21"/>
              </w:rPr>
            </w:pPr>
            <w:r>
              <w:rPr>
                <w:rFonts w:hint="eastAsia" w:ascii="宋体" w:hAnsi="宋体" w:eastAsia="宋体" w:cs="宋体"/>
                <w:sz w:val="21"/>
                <w:szCs w:val="21"/>
              </w:rPr>
              <w:t>2.工作重点、难点的分析准确，全面；</w:t>
            </w:r>
          </w:p>
          <w:p>
            <w:pPr>
              <w:spacing w:line="240" w:lineRule="auto"/>
              <w:ind w:firstLine="0" w:firstLineChars="0"/>
              <w:jc w:val="left"/>
              <w:rPr>
                <w:rFonts w:ascii="宋体" w:hAnsi="宋体" w:eastAsia="宋体" w:cs="宋体"/>
                <w:sz w:val="21"/>
                <w:szCs w:val="21"/>
              </w:rPr>
            </w:pPr>
            <w:r>
              <w:rPr>
                <w:rFonts w:hint="eastAsia" w:ascii="宋体" w:hAnsi="宋体" w:eastAsia="宋体" w:cs="宋体"/>
                <w:sz w:val="21"/>
                <w:szCs w:val="21"/>
              </w:rPr>
              <w:t>3.解决重点难点问题的方案措施合理且有针对性；</w:t>
            </w:r>
          </w:p>
          <w:p>
            <w:pPr>
              <w:numPr>
                <w:ilvl w:val="255"/>
                <w:numId w:val="0"/>
              </w:numPr>
              <w:spacing w:line="240" w:lineRule="auto"/>
              <w:jc w:val="left"/>
              <w:rPr>
                <w:rFonts w:ascii="宋体" w:hAnsi="宋体" w:eastAsia="宋体" w:cs="宋体"/>
                <w:sz w:val="21"/>
                <w:szCs w:val="21"/>
              </w:rPr>
            </w:pPr>
            <w:r>
              <w:rPr>
                <w:rFonts w:hint="eastAsia" w:ascii="宋体" w:hAnsi="宋体" w:eastAsia="宋体" w:cs="宋体"/>
                <w:sz w:val="21"/>
                <w:szCs w:val="21"/>
              </w:rPr>
              <w:t>4.解决重点难点问题的建议科学、可行性高</w:t>
            </w:r>
            <w:r>
              <w:rPr>
                <w:rFonts w:hint="eastAsia" w:ascii="宋体" w:hAnsi="宋体" w:eastAsia="宋体" w:cs="宋体"/>
                <w:sz w:val="21"/>
                <w:szCs w:val="21"/>
                <w:lang w:eastAsia="zh-CN"/>
              </w:rPr>
              <w:t>。</w:t>
            </w:r>
          </w:p>
          <w:p>
            <w:pPr>
              <w:spacing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满足以上4项要求为优、满足3项要求为良、满足2项要求为中、满足1项要求和不满足要求为差。</w:t>
            </w:r>
          </w:p>
        </w:tc>
        <w:tc>
          <w:tcPr>
            <w:tcW w:w="977" w:type="dxa"/>
            <w:noWrap w:val="0"/>
            <w:vAlign w:val="center"/>
          </w:tcPr>
          <w:p>
            <w:pPr>
              <w:spacing w:line="240" w:lineRule="auto"/>
              <w:ind w:firstLine="420" w:firstLineChars="200"/>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1314" w:type="dxa"/>
            <w:vMerge w:val="continue"/>
            <w:noWrap w:val="0"/>
            <w:vAlign w:val="center"/>
          </w:tcPr>
          <w:p>
            <w:pPr>
              <w:spacing w:line="240" w:lineRule="auto"/>
              <w:ind w:firstLine="0" w:firstLineChars="0"/>
              <w:jc w:val="left"/>
              <w:rPr>
                <w:rFonts w:hint="eastAsia" w:ascii="宋体" w:hAnsi="宋体" w:eastAsia="宋体" w:cs="宋体"/>
                <w:sz w:val="21"/>
                <w:szCs w:val="21"/>
              </w:rPr>
            </w:pPr>
          </w:p>
        </w:tc>
        <w:tc>
          <w:tcPr>
            <w:tcW w:w="788" w:type="dxa"/>
            <w:vMerge w:val="continue"/>
            <w:noWrap w:val="0"/>
            <w:vAlign w:val="center"/>
          </w:tcPr>
          <w:p>
            <w:pPr>
              <w:spacing w:line="240" w:lineRule="auto"/>
              <w:ind w:firstLine="0" w:firstLineChars="0"/>
              <w:jc w:val="left"/>
              <w:rPr>
                <w:rFonts w:hint="eastAsia" w:ascii="宋体" w:hAnsi="宋体" w:eastAsia="宋体" w:cs="宋体"/>
                <w:sz w:val="21"/>
                <w:szCs w:val="21"/>
                <w:lang w:val="en-US" w:eastAsia="zh-CN"/>
              </w:rPr>
            </w:pPr>
          </w:p>
        </w:tc>
        <w:tc>
          <w:tcPr>
            <w:tcW w:w="1290" w:type="dxa"/>
            <w:noWrap w:val="0"/>
            <w:vAlign w:val="center"/>
          </w:tcPr>
          <w:p>
            <w:pPr>
              <w:spacing w:line="240" w:lineRule="auto"/>
              <w:ind w:firstLine="420" w:firstLineChars="200"/>
              <w:jc w:val="center"/>
              <w:rPr>
                <w:rFonts w:hint="eastAsia" w:ascii="宋体" w:hAnsi="宋体" w:eastAsia="宋体" w:cs="宋体"/>
                <w:sz w:val="21"/>
                <w:szCs w:val="21"/>
              </w:rPr>
            </w:pPr>
            <w:r>
              <w:rPr>
                <w:rFonts w:hint="eastAsia" w:ascii="宋体" w:hAnsi="宋体" w:eastAsia="宋体" w:cs="宋体"/>
                <w:sz w:val="21"/>
                <w:szCs w:val="21"/>
              </w:rPr>
              <w:t>B2、实施方案（15分）</w:t>
            </w:r>
          </w:p>
        </w:tc>
        <w:tc>
          <w:tcPr>
            <w:tcW w:w="6525" w:type="dxa"/>
            <w:noWrap w:val="0"/>
            <w:vAlign w:val="top"/>
          </w:tcPr>
          <w:p>
            <w:pPr>
              <w:spacing w:line="240" w:lineRule="auto"/>
              <w:ind w:firstLine="420"/>
              <w:jc w:val="left"/>
              <w:rPr>
                <w:rFonts w:ascii="宋体" w:hAnsi="宋体" w:eastAsia="宋体" w:cs="宋体"/>
                <w:sz w:val="21"/>
                <w:szCs w:val="21"/>
              </w:rPr>
            </w:pPr>
            <w:r>
              <w:rPr>
                <w:rFonts w:hint="eastAsia" w:ascii="宋体" w:hAnsi="宋体" w:eastAsia="宋体" w:cs="宋体"/>
                <w:sz w:val="21"/>
                <w:szCs w:val="21"/>
              </w:rPr>
              <w:t>针对该项目所制定的方案需包括整体的实施过程、筹备安排、组织协调。项目需求分析内容完整、考虑周全、分析透彻。按照投标文件响应情况进行横向比较，分档评分：方案完善评价为优得15分；方案评价为良得10分；评价为中得5分；评价为差不得分。</w:t>
            </w:r>
          </w:p>
          <w:p>
            <w:pPr>
              <w:spacing w:line="240" w:lineRule="auto"/>
              <w:ind w:firstLine="420"/>
              <w:jc w:val="left"/>
              <w:rPr>
                <w:rFonts w:ascii="宋体" w:hAnsi="宋体" w:eastAsia="宋体" w:cs="宋体"/>
                <w:sz w:val="21"/>
                <w:szCs w:val="21"/>
              </w:rPr>
            </w:pPr>
            <w:r>
              <w:rPr>
                <w:rFonts w:hint="eastAsia" w:ascii="宋体" w:hAnsi="宋体" w:eastAsia="宋体" w:cs="宋体"/>
                <w:sz w:val="21"/>
                <w:szCs w:val="21"/>
              </w:rPr>
              <w:t>1.项目方案内容全面；</w:t>
            </w:r>
          </w:p>
          <w:p>
            <w:pPr>
              <w:spacing w:line="240" w:lineRule="auto"/>
              <w:ind w:firstLine="420"/>
              <w:jc w:val="left"/>
              <w:rPr>
                <w:rFonts w:ascii="宋体" w:hAnsi="宋体" w:eastAsia="宋体" w:cs="宋体"/>
                <w:sz w:val="21"/>
                <w:szCs w:val="21"/>
              </w:rPr>
            </w:pPr>
            <w:r>
              <w:rPr>
                <w:rFonts w:hint="eastAsia" w:ascii="宋体" w:hAnsi="宋体" w:eastAsia="宋体" w:cs="宋体"/>
                <w:sz w:val="21"/>
                <w:szCs w:val="21"/>
              </w:rPr>
              <w:t>2.项目方案内容具体；</w:t>
            </w:r>
          </w:p>
          <w:p>
            <w:pPr>
              <w:spacing w:line="240" w:lineRule="auto"/>
              <w:ind w:firstLine="420"/>
              <w:jc w:val="left"/>
              <w:rPr>
                <w:rFonts w:ascii="宋体" w:hAnsi="宋体" w:eastAsia="宋体" w:cs="宋体"/>
                <w:sz w:val="21"/>
                <w:szCs w:val="21"/>
              </w:rPr>
            </w:pPr>
            <w:r>
              <w:rPr>
                <w:rFonts w:hint="eastAsia" w:ascii="宋体" w:hAnsi="宋体" w:eastAsia="宋体" w:cs="宋体"/>
                <w:sz w:val="21"/>
                <w:szCs w:val="21"/>
              </w:rPr>
              <w:t>3.项目方案内容针对性强；</w:t>
            </w:r>
          </w:p>
          <w:p>
            <w:pPr>
              <w:spacing w:line="240" w:lineRule="auto"/>
              <w:ind w:firstLine="420"/>
              <w:jc w:val="left"/>
              <w:rPr>
                <w:rFonts w:ascii="宋体" w:hAnsi="宋体" w:eastAsia="宋体" w:cs="宋体"/>
                <w:sz w:val="21"/>
                <w:szCs w:val="21"/>
              </w:rPr>
            </w:pPr>
            <w:r>
              <w:rPr>
                <w:rFonts w:hint="eastAsia" w:ascii="宋体" w:hAnsi="宋体" w:eastAsia="宋体" w:cs="宋体"/>
                <w:sz w:val="21"/>
                <w:szCs w:val="21"/>
              </w:rPr>
              <w:t>4.项目方案内容科学合理，有亮点。</w:t>
            </w:r>
          </w:p>
          <w:p>
            <w:pPr>
              <w:spacing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满足以上4项要求为优、满足3项要求为良、满足2项要求为中、满足1项要求和不满足要求为差。</w:t>
            </w:r>
          </w:p>
        </w:tc>
        <w:tc>
          <w:tcPr>
            <w:tcW w:w="977" w:type="dxa"/>
            <w:noWrap w:val="0"/>
            <w:vAlign w:val="center"/>
          </w:tcPr>
          <w:p>
            <w:pPr>
              <w:spacing w:line="240" w:lineRule="auto"/>
              <w:ind w:firstLine="420" w:firstLineChars="200"/>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1314" w:type="dxa"/>
            <w:vMerge w:val="continue"/>
            <w:noWrap w:val="0"/>
            <w:vAlign w:val="center"/>
          </w:tcPr>
          <w:p>
            <w:pPr>
              <w:jc w:val="center"/>
              <w:rPr>
                <w:rFonts w:hint="eastAsia"/>
                <w:sz w:val="24"/>
                <w:szCs w:val="24"/>
              </w:rPr>
            </w:pPr>
          </w:p>
        </w:tc>
        <w:tc>
          <w:tcPr>
            <w:tcW w:w="788" w:type="dxa"/>
            <w:vMerge w:val="continue"/>
            <w:noWrap w:val="0"/>
            <w:vAlign w:val="center"/>
          </w:tcPr>
          <w:p>
            <w:pPr>
              <w:jc w:val="center"/>
              <w:rPr>
                <w:rFonts w:hint="eastAsia"/>
                <w:sz w:val="24"/>
                <w:szCs w:val="24"/>
              </w:rPr>
            </w:pPr>
          </w:p>
        </w:tc>
        <w:tc>
          <w:tcPr>
            <w:tcW w:w="1290" w:type="dxa"/>
            <w:noWrap w:val="0"/>
            <w:vAlign w:val="center"/>
          </w:tcPr>
          <w:p>
            <w:pPr>
              <w:spacing w:line="24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sz w:val="21"/>
                <w:szCs w:val="21"/>
                <w:lang w:val="en-US" w:eastAsia="zh-CN"/>
              </w:rPr>
              <w:t>3</w:t>
            </w:r>
            <w:r>
              <w:rPr>
                <w:rFonts w:hint="eastAsia" w:ascii="宋体" w:hAnsi="宋体" w:eastAsia="宋体" w:cs="宋体"/>
                <w:sz w:val="21"/>
                <w:szCs w:val="21"/>
              </w:rPr>
              <w:t>、同类项目经验（</w:t>
            </w:r>
            <w:r>
              <w:rPr>
                <w:rFonts w:hint="eastAsia" w:ascii="宋体" w:hAnsi="宋体" w:eastAsia="宋体" w:cs="宋体"/>
                <w:sz w:val="21"/>
                <w:szCs w:val="21"/>
                <w:lang w:val="en-US" w:eastAsia="zh-CN"/>
              </w:rPr>
              <w:t>15</w:t>
            </w:r>
            <w:r>
              <w:rPr>
                <w:rFonts w:hint="eastAsia" w:ascii="宋体" w:hAnsi="宋体" w:eastAsia="宋体" w:cs="宋体"/>
                <w:sz w:val="21"/>
                <w:szCs w:val="21"/>
              </w:rPr>
              <w:t>分）</w:t>
            </w:r>
          </w:p>
        </w:tc>
        <w:tc>
          <w:tcPr>
            <w:tcW w:w="6525" w:type="dxa"/>
            <w:noWrap w:val="0"/>
            <w:vAlign w:val="top"/>
          </w:tcPr>
          <w:p>
            <w:pPr>
              <w:spacing w:line="240" w:lineRule="auto"/>
              <w:ind w:firstLine="0" w:firstLineChars="0"/>
              <w:rPr>
                <w:rFonts w:ascii="宋体" w:hAnsi="宋体" w:eastAsia="宋体" w:cs="宋体"/>
                <w:color w:val="auto"/>
                <w:spacing w:val="-11"/>
                <w:kern w:val="16"/>
                <w:sz w:val="21"/>
                <w:szCs w:val="21"/>
              </w:rPr>
            </w:pPr>
            <w:r>
              <w:rPr>
                <w:rFonts w:hint="eastAsia" w:ascii="宋体" w:hAnsi="宋体" w:eastAsia="宋体" w:cs="宋体"/>
                <w:spacing w:val="-11"/>
                <w:kern w:val="16"/>
                <w:sz w:val="21"/>
                <w:szCs w:val="21"/>
              </w:rPr>
              <w:t>投标人承接过</w:t>
            </w:r>
            <w:r>
              <w:rPr>
                <w:rFonts w:hint="eastAsia" w:ascii="宋体" w:hAnsi="宋体" w:eastAsia="宋体" w:cs="宋体"/>
                <w:color w:val="auto"/>
                <w:spacing w:val="-11"/>
                <w:kern w:val="16"/>
                <w:sz w:val="21"/>
                <w:szCs w:val="21"/>
              </w:rPr>
              <w:t>环境提升设计制作类服务相关情况。</w:t>
            </w:r>
          </w:p>
          <w:p>
            <w:pPr>
              <w:spacing w:line="240" w:lineRule="auto"/>
              <w:ind w:firstLine="0" w:firstLineChars="0"/>
              <w:rPr>
                <w:rFonts w:ascii="宋体" w:hAnsi="宋体" w:eastAsia="宋体" w:cs="宋体"/>
                <w:color w:val="auto"/>
                <w:spacing w:val="-11"/>
                <w:kern w:val="16"/>
                <w:sz w:val="21"/>
                <w:szCs w:val="21"/>
              </w:rPr>
            </w:pPr>
            <w:r>
              <w:rPr>
                <w:rFonts w:hint="eastAsia" w:ascii="宋体" w:hAnsi="宋体" w:eastAsia="宋体" w:cs="宋体"/>
                <w:color w:val="auto"/>
                <w:spacing w:val="-11"/>
                <w:kern w:val="16"/>
                <w:sz w:val="21"/>
                <w:szCs w:val="21"/>
              </w:rPr>
              <w:t>提供项目相关服务业绩，每1份得</w:t>
            </w:r>
            <w:r>
              <w:rPr>
                <w:rFonts w:hint="eastAsia" w:ascii="宋体" w:hAnsi="宋体" w:eastAsia="宋体" w:cs="宋体"/>
                <w:color w:val="auto"/>
                <w:spacing w:val="-11"/>
                <w:kern w:val="16"/>
                <w:sz w:val="21"/>
                <w:szCs w:val="21"/>
                <w:lang w:val="en-US" w:eastAsia="zh-CN"/>
              </w:rPr>
              <w:t>3</w:t>
            </w:r>
            <w:r>
              <w:rPr>
                <w:rFonts w:hint="eastAsia" w:ascii="宋体" w:hAnsi="宋体" w:eastAsia="宋体" w:cs="宋体"/>
                <w:color w:val="auto"/>
                <w:spacing w:val="-11"/>
                <w:kern w:val="16"/>
                <w:sz w:val="21"/>
                <w:szCs w:val="21"/>
              </w:rPr>
              <w:t>分，累计得分不超过1</w:t>
            </w:r>
            <w:r>
              <w:rPr>
                <w:rFonts w:hint="eastAsia" w:ascii="宋体" w:hAnsi="宋体" w:eastAsia="宋体" w:cs="宋体"/>
                <w:color w:val="auto"/>
                <w:spacing w:val="-11"/>
                <w:kern w:val="16"/>
                <w:sz w:val="21"/>
                <w:szCs w:val="21"/>
                <w:lang w:val="en-US" w:eastAsia="zh-CN"/>
              </w:rPr>
              <w:t>5</w:t>
            </w:r>
            <w:r>
              <w:rPr>
                <w:rFonts w:hint="eastAsia" w:ascii="宋体" w:hAnsi="宋体" w:eastAsia="宋体" w:cs="宋体"/>
                <w:color w:val="auto"/>
                <w:spacing w:val="-11"/>
                <w:kern w:val="16"/>
                <w:sz w:val="21"/>
                <w:szCs w:val="21"/>
              </w:rPr>
              <w:t>分。</w:t>
            </w:r>
          </w:p>
          <w:p>
            <w:pPr>
              <w:spacing w:line="240" w:lineRule="auto"/>
              <w:ind w:firstLine="0" w:firstLineChars="0"/>
              <w:jc w:val="left"/>
              <w:rPr>
                <w:rFonts w:hint="eastAsia" w:ascii="宋体" w:hAnsi="宋体" w:eastAsia="宋体" w:cs="宋体"/>
                <w:sz w:val="21"/>
                <w:szCs w:val="21"/>
              </w:rPr>
            </w:pPr>
            <w:r>
              <w:rPr>
                <w:rFonts w:hint="eastAsia" w:ascii="宋体" w:hAnsi="宋体" w:eastAsia="宋体" w:cs="宋体"/>
                <w:spacing w:val="-11"/>
                <w:kern w:val="16"/>
                <w:sz w:val="21"/>
                <w:szCs w:val="21"/>
              </w:rPr>
              <w:t>证明文件：须提供相关合同关键页（证明文件中须清晰体现项目签订时间、项目金额、项目内容等）复印件加盖投标人公章。</w:t>
            </w:r>
          </w:p>
        </w:tc>
        <w:tc>
          <w:tcPr>
            <w:tcW w:w="977" w:type="dxa"/>
            <w:noWrap w:val="0"/>
            <w:vAlign w:val="top"/>
          </w:tcPr>
          <w:p>
            <w:pPr>
              <w:rPr>
                <w:rFonts w:hint="eastAsia"/>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314" w:type="dxa"/>
            <w:vMerge w:val="continue"/>
            <w:noWrap w:val="0"/>
            <w:vAlign w:val="center"/>
          </w:tcPr>
          <w:p>
            <w:pPr>
              <w:rPr>
                <w:rFonts w:hint="eastAsia"/>
                <w:sz w:val="24"/>
                <w:szCs w:val="24"/>
              </w:rPr>
            </w:pPr>
          </w:p>
        </w:tc>
        <w:tc>
          <w:tcPr>
            <w:tcW w:w="8603" w:type="dxa"/>
            <w:gridSpan w:val="3"/>
            <w:noWrap w:val="0"/>
            <w:vAlign w:val="top"/>
          </w:tcPr>
          <w:p>
            <w:pPr>
              <w:spacing w:line="240" w:lineRule="auto"/>
              <w:ind w:firstLine="0" w:firstLineChars="0"/>
              <w:jc w:val="left"/>
              <w:rPr>
                <w:rFonts w:hint="default" w:ascii="宋体" w:hAnsi="宋体" w:eastAsia="宋体" w:cs="宋体"/>
                <w:sz w:val="21"/>
                <w:szCs w:val="21"/>
                <w:lang w:val="en-US" w:eastAsia="zh-CN"/>
              </w:rPr>
            </w:pPr>
            <w:r>
              <w:rPr>
                <w:rFonts w:hint="eastAsia" w:ascii="宋体" w:hAnsi="宋体" w:eastAsia="宋体" w:cs="宋体"/>
                <w:sz w:val="21"/>
                <w:szCs w:val="21"/>
              </w:rPr>
              <w:t>技术部分得分（B）=B1+B2</w:t>
            </w:r>
            <w:r>
              <w:rPr>
                <w:rFonts w:hint="eastAsia" w:ascii="宋体" w:hAnsi="宋体" w:eastAsia="宋体" w:cs="宋体"/>
                <w:sz w:val="21"/>
                <w:szCs w:val="21"/>
                <w:lang w:val="en-US" w:eastAsia="zh-CN"/>
              </w:rPr>
              <w:t>+B3</w:t>
            </w:r>
          </w:p>
        </w:tc>
        <w:tc>
          <w:tcPr>
            <w:tcW w:w="977" w:type="dxa"/>
            <w:noWrap w:val="0"/>
            <w:vAlign w:val="top"/>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jc w:val="center"/>
        </w:trPr>
        <w:tc>
          <w:tcPr>
            <w:tcW w:w="1314" w:type="dxa"/>
            <w:vMerge w:val="restart"/>
            <w:noWrap w:val="0"/>
            <w:vAlign w:val="center"/>
          </w:tcPr>
          <w:p>
            <w:pPr>
              <w:jc w:val="center"/>
              <w:rPr>
                <w:rFonts w:hint="eastAsia"/>
                <w:sz w:val="24"/>
                <w:szCs w:val="24"/>
              </w:rPr>
            </w:pPr>
            <w:r>
              <w:rPr>
                <w:rFonts w:hint="eastAsia"/>
                <w:sz w:val="24"/>
                <w:szCs w:val="24"/>
                <w:highlight w:val="none"/>
              </w:rPr>
              <w:t>商务部分（C）</w:t>
            </w:r>
          </w:p>
        </w:tc>
        <w:tc>
          <w:tcPr>
            <w:tcW w:w="788" w:type="dxa"/>
            <w:vMerge w:val="restart"/>
            <w:noWrap w:val="0"/>
            <w:vAlign w:val="center"/>
          </w:tcPr>
          <w:p>
            <w:pPr>
              <w:ind w:left="0" w:leftChars="0" w:firstLine="0" w:firstLineChars="0"/>
              <w:jc w:val="both"/>
              <w:rPr>
                <w:rFonts w:hint="eastAsia"/>
                <w:sz w:val="24"/>
                <w:szCs w:val="24"/>
              </w:rPr>
            </w:pPr>
            <w:r>
              <w:rPr>
                <w:rFonts w:hint="eastAsia"/>
                <w:sz w:val="24"/>
                <w:szCs w:val="24"/>
                <w:highlight w:val="none"/>
                <w:lang w:val="en-US" w:eastAsia="zh-CN"/>
              </w:rPr>
              <w:t>30</w:t>
            </w:r>
            <w:r>
              <w:rPr>
                <w:rFonts w:hint="eastAsia"/>
                <w:sz w:val="24"/>
                <w:szCs w:val="24"/>
                <w:highlight w:val="none"/>
              </w:rPr>
              <w:t>分</w:t>
            </w:r>
          </w:p>
        </w:tc>
        <w:tc>
          <w:tcPr>
            <w:tcW w:w="1290" w:type="dxa"/>
            <w:noWrap w:val="0"/>
            <w:vAlign w:val="center"/>
          </w:tcPr>
          <w:p>
            <w:pPr>
              <w:spacing w:line="24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C1、团队实力（1</w:t>
            </w:r>
            <w:r>
              <w:rPr>
                <w:rFonts w:hint="eastAsia" w:ascii="宋体" w:hAnsi="宋体" w:eastAsia="宋体" w:cs="宋体"/>
                <w:sz w:val="21"/>
                <w:szCs w:val="21"/>
                <w:lang w:val="en-US" w:eastAsia="zh-CN"/>
              </w:rPr>
              <w:t>5</w:t>
            </w:r>
            <w:r>
              <w:rPr>
                <w:rFonts w:hint="eastAsia" w:ascii="宋体" w:hAnsi="宋体" w:eastAsia="宋体" w:cs="宋体"/>
                <w:sz w:val="21"/>
                <w:szCs w:val="21"/>
              </w:rPr>
              <w:t>分）</w:t>
            </w:r>
          </w:p>
        </w:tc>
        <w:tc>
          <w:tcPr>
            <w:tcW w:w="6525" w:type="dxa"/>
            <w:noWrap w:val="0"/>
            <w:vAlign w:val="top"/>
          </w:tcPr>
          <w:p>
            <w:pPr>
              <w:spacing w:line="24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本项目负责人担任过同类项目管理经验10年</w:t>
            </w:r>
            <w:r>
              <w:rPr>
                <w:rFonts w:hint="eastAsia" w:ascii="宋体" w:hAnsi="宋体" w:eastAsia="宋体" w:cs="宋体"/>
                <w:sz w:val="21"/>
                <w:szCs w:val="21"/>
                <w:lang w:eastAsia="zh-CN"/>
              </w:rPr>
              <w:t>及</w:t>
            </w:r>
            <w:r>
              <w:rPr>
                <w:rFonts w:hint="eastAsia" w:ascii="宋体" w:hAnsi="宋体" w:eastAsia="宋体" w:cs="宋体"/>
                <w:sz w:val="21"/>
                <w:szCs w:val="21"/>
              </w:rPr>
              <w:t>以上得</w:t>
            </w:r>
            <w:r>
              <w:rPr>
                <w:rFonts w:hint="eastAsia" w:ascii="宋体" w:hAnsi="宋体" w:eastAsia="宋体" w:cs="宋体"/>
                <w:sz w:val="21"/>
                <w:szCs w:val="21"/>
                <w:lang w:val="en-US" w:eastAsia="zh-CN"/>
              </w:rPr>
              <w:t>15</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5年及以上得10分；3年及以上得5分；其他情况不得分</w:t>
            </w:r>
            <w:r>
              <w:rPr>
                <w:rFonts w:hint="eastAsia" w:ascii="宋体" w:hAnsi="宋体" w:eastAsia="宋体" w:cs="宋体"/>
                <w:sz w:val="21"/>
                <w:szCs w:val="21"/>
              </w:rPr>
              <w:t>；</w:t>
            </w:r>
          </w:p>
          <w:p>
            <w:pPr>
              <w:spacing w:line="24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证明文件：投标人须提供相关有效业绩的合同关键页（证明文件中须清晰体现项目签订时间、项目金额、项目内容等）复印件加盖投标人公章。</w:t>
            </w:r>
          </w:p>
        </w:tc>
        <w:tc>
          <w:tcPr>
            <w:tcW w:w="977" w:type="dxa"/>
            <w:noWrap w:val="0"/>
            <w:vAlign w:val="top"/>
          </w:tcPr>
          <w:p>
            <w:pPr>
              <w:rPr>
                <w:rFonts w:hint="eastAsia"/>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1314" w:type="dxa"/>
            <w:vMerge w:val="continue"/>
            <w:noWrap w:val="0"/>
            <w:vAlign w:val="center"/>
          </w:tcPr>
          <w:p>
            <w:pPr>
              <w:jc w:val="center"/>
              <w:rPr>
                <w:rFonts w:hint="eastAsia"/>
                <w:sz w:val="24"/>
                <w:szCs w:val="24"/>
              </w:rPr>
            </w:pPr>
          </w:p>
        </w:tc>
        <w:tc>
          <w:tcPr>
            <w:tcW w:w="788" w:type="dxa"/>
            <w:vMerge w:val="continue"/>
            <w:noWrap w:val="0"/>
            <w:vAlign w:val="center"/>
          </w:tcPr>
          <w:p>
            <w:pPr>
              <w:jc w:val="center"/>
              <w:rPr>
                <w:rFonts w:hint="eastAsia"/>
                <w:sz w:val="24"/>
                <w:szCs w:val="24"/>
              </w:rPr>
            </w:pPr>
          </w:p>
        </w:tc>
        <w:tc>
          <w:tcPr>
            <w:tcW w:w="1290" w:type="dxa"/>
            <w:noWrap w:val="0"/>
            <w:vAlign w:val="center"/>
          </w:tcPr>
          <w:p>
            <w:pPr>
              <w:spacing w:line="24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C2、售后服务（</w:t>
            </w:r>
            <w:r>
              <w:rPr>
                <w:rFonts w:hint="eastAsia" w:ascii="宋体" w:hAnsi="宋体" w:eastAsia="宋体" w:cs="宋体"/>
                <w:sz w:val="21"/>
                <w:szCs w:val="21"/>
                <w:lang w:val="en-US" w:eastAsia="zh-CN"/>
              </w:rPr>
              <w:t>5</w:t>
            </w:r>
            <w:r>
              <w:rPr>
                <w:rFonts w:hint="eastAsia" w:ascii="宋体" w:hAnsi="宋体" w:eastAsia="宋体" w:cs="宋体"/>
                <w:sz w:val="21"/>
                <w:szCs w:val="21"/>
              </w:rPr>
              <w:t>分）</w:t>
            </w:r>
          </w:p>
        </w:tc>
        <w:tc>
          <w:tcPr>
            <w:tcW w:w="6525" w:type="dxa"/>
            <w:noWrap w:val="0"/>
            <w:vAlign w:val="top"/>
          </w:tcPr>
          <w:p>
            <w:pPr>
              <w:spacing w:line="240" w:lineRule="auto"/>
              <w:ind w:firstLine="0" w:firstLineChars="0"/>
              <w:jc w:val="left"/>
              <w:rPr>
                <w:rFonts w:hint="eastAsia" w:ascii="宋体" w:hAnsi="宋体" w:eastAsia="宋体" w:cs="宋体"/>
                <w:sz w:val="21"/>
                <w:szCs w:val="21"/>
              </w:rPr>
            </w:pPr>
            <w:r>
              <w:rPr>
                <w:rFonts w:hint="eastAsia" w:ascii="宋体" w:hAnsi="宋体" w:eastAsia="宋体" w:cs="宋体"/>
                <w:spacing w:val="-11"/>
                <w:kern w:val="16"/>
                <w:sz w:val="21"/>
                <w:szCs w:val="21"/>
              </w:rPr>
              <w:t>售后服务承诺详细、具体，有针对性满足用户要求，应包含售后服务团队，内容部分提供技术保障，并承诺在项目实施过程中能够按照客户的需求不断完善和改进，以满足客户的项目需求。对以上要求提供售后服务承诺函的得5分，未提供不得分。（《承诺函》格式自拟）</w:t>
            </w:r>
          </w:p>
        </w:tc>
        <w:tc>
          <w:tcPr>
            <w:tcW w:w="977" w:type="dxa"/>
            <w:noWrap w:val="0"/>
            <w:vAlign w:val="top"/>
          </w:tcPr>
          <w:p>
            <w:pPr>
              <w:rPr>
                <w:rFonts w:hint="eastAsia"/>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1314" w:type="dxa"/>
            <w:vMerge w:val="continue"/>
            <w:noWrap w:val="0"/>
            <w:vAlign w:val="center"/>
          </w:tcPr>
          <w:p>
            <w:pPr>
              <w:jc w:val="center"/>
              <w:rPr>
                <w:rFonts w:hint="eastAsia"/>
                <w:sz w:val="24"/>
                <w:szCs w:val="24"/>
              </w:rPr>
            </w:pPr>
          </w:p>
        </w:tc>
        <w:tc>
          <w:tcPr>
            <w:tcW w:w="788" w:type="dxa"/>
            <w:vMerge w:val="continue"/>
            <w:noWrap w:val="0"/>
            <w:vAlign w:val="center"/>
          </w:tcPr>
          <w:p>
            <w:pPr>
              <w:jc w:val="center"/>
              <w:rPr>
                <w:rFonts w:hint="eastAsia"/>
                <w:sz w:val="24"/>
                <w:szCs w:val="24"/>
              </w:rPr>
            </w:pPr>
          </w:p>
        </w:tc>
        <w:tc>
          <w:tcPr>
            <w:tcW w:w="1290" w:type="dxa"/>
            <w:noWrap w:val="0"/>
            <w:vAlign w:val="center"/>
          </w:tcPr>
          <w:p>
            <w:pPr>
              <w:spacing w:line="24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val="en-US" w:eastAsia="zh-CN"/>
              </w:rPr>
              <w:t>3</w:t>
            </w:r>
            <w:r>
              <w:rPr>
                <w:rFonts w:hint="eastAsia" w:ascii="宋体" w:hAnsi="宋体" w:eastAsia="宋体" w:cs="宋体"/>
                <w:sz w:val="21"/>
                <w:szCs w:val="21"/>
              </w:rPr>
              <w:t>、</w:t>
            </w:r>
            <w:r>
              <w:rPr>
                <w:rFonts w:hint="eastAsia" w:ascii="宋体" w:hAnsi="宋体" w:eastAsia="宋体" w:cs="宋体"/>
                <w:sz w:val="21"/>
                <w:szCs w:val="21"/>
                <w:lang w:eastAsia="zh-CN"/>
              </w:rPr>
              <w:t>诚信承诺</w:t>
            </w:r>
            <w:r>
              <w:rPr>
                <w:rFonts w:hint="eastAsia" w:ascii="宋体" w:hAnsi="宋体" w:eastAsia="宋体" w:cs="宋体"/>
                <w:sz w:val="21"/>
                <w:szCs w:val="21"/>
              </w:rPr>
              <w:t>（</w:t>
            </w:r>
            <w:r>
              <w:rPr>
                <w:rFonts w:hint="eastAsia" w:ascii="宋体" w:hAnsi="宋体" w:eastAsia="宋体" w:cs="宋体"/>
                <w:sz w:val="21"/>
                <w:szCs w:val="21"/>
                <w:lang w:val="en-US" w:eastAsia="zh-CN"/>
              </w:rPr>
              <w:t>5</w:t>
            </w:r>
            <w:r>
              <w:rPr>
                <w:rFonts w:hint="eastAsia" w:ascii="宋体" w:hAnsi="宋体" w:eastAsia="宋体" w:cs="宋体"/>
                <w:sz w:val="21"/>
                <w:szCs w:val="21"/>
              </w:rPr>
              <w:t>分）</w:t>
            </w:r>
          </w:p>
        </w:tc>
        <w:tc>
          <w:tcPr>
            <w:tcW w:w="6525" w:type="dxa"/>
            <w:noWrap w:val="0"/>
            <w:vAlign w:val="top"/>
          </w:tcPr>
          <w:p>
            <w:pPr>
              <w:spacing w:line="24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lang w:val="en-US" w:eastAsia="zh-CN"/>
              </w:rPr>
              <w:t>根</w:t>
            </w:r>
            <w:r>
              <w:rPr>
                <w:rFonts w:hint="eastAsia" w:ascii="宋体" w:hAnsi="宋体" w:eastAsia="宋体" w:cs="宋体"/>
                <w:sz w:val="21"/>
                <w:szCs w:val="21"/>
              </w:rPr>
              <w:t>据《深圳市政府采购投标人诚信管理暂行办法》相关规定，投标人在参与政府采购活动中出现诚信相关问题且在相关主管部门处理措施实施期限内的本项不得分，否则得</w:t>
            </w:r>
            <w:r>
              <w:rPr>
                <w:rFonts w:hint="eastAsia" w:ascii="宋体" w:hAnsi="宋体" w:eastAsia="宋体" w:cs="宋体"/>
                <w:sz w:val="21"/>
                <w:szCs w:val="21"/>
                <w:lang w:val="en-US" w:eastAsia="zh-CN"/>
              </w:rPr>
              <w:t>5</w:t>
            </w:r>
            <w:r>
              <w:rPr>
                <w:rFonts w:hint="eastAsia" w:ascii="宋体" w:hAnsi="宋体" w:eastAsia="宋体" w:cs="宋体"/>
                <w:sz w:val="21"/>
                <w:szCs w:val="21"/>
              </w:rPr>
              <w:t>分。（须提供《诚信承诺函》，按招标文件格式要求提供，不提供不得分。如被认定提供的陈述与事实不符的，依法追究其责任。）</w:t>
            </w:r>
          </w:p>
        </w:tc>
        <w:tc>
          <w:tcPr>
            <w:tcW w:w="977" w:type="dxa"/>
            <w:noWrap w:val="0"/>
            <w:vAlign w:val="top"/>
          </w:tcPr>
          <w:p>
            <w:pPr>
              <w:rPr>
                <w:rFonts w:hint="eastAsia"/>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1314" w:type="dxa"/>
            <w:vMerge w:val="continue"/>
            <w:noWrap w:val="0"/>
            <w:vAlign w:val="center"/>
          </w:tcPr>
          <w:p>
            <w:pPr>
              <w:jc w:val="center"/>
              <w:rPr>
                <w:rFonts w:hint="eastAsia"/>
                <w:sz w:val="24"/>
                <w:szCs w:val="24"/>
              </w:rPr>
            </w:pPr>
          </w:p>
        </w:tc>
        <w:tc>
          <w:tcPr>
            <w:tcW w:w="788" w:type="dxa"/>
            <w:vMerge w:val="continue"/>
            <w:noWrap w:val="0"/>
            <w:vAlign w:val="center"/>
          </w:tcPr>
          <w:p>
            <w:pPr>
              <w:jc w:val="center"/>
              <w:rPr>
                <w:rFonts w:hint="eastAsia"/>
                <w:sz w:val="24"/>
                <w:szCs w:val="24"/>
              </w:rPr>
            </w:pPr>
          </w:p>
        </w:tc>
        <w:tc>
          <w:tcPr>
            <w:tcW w:w="1290" w:type="dxa"/>
            <w:noWrap w:val="0"/>
            <w:vAlign w:val="center"/>
          </w:tcPr>
          <w:p>
            <w:pPr>
              <w:spacing w:line="240" w:lineRule="auto"/>
              <w:ind w:firstLine="0" w:firstLineChars="0"/>
              <w:rPr>
                <w:rFonts w:hint="eastAsia" w:ascii="宋体" w:hAnsi="宋体" w:eastAsia="宋体" w:cs="宋体"/>
                <w:spacing w:val="-11"/>
                <w:kern w:val="16"/>
                <w:sz w:val="21"/>
                <w:szCs w:val="21"/>
                <w:lang w:val="en-US" w:eastAsia="zh-CN" w:bidi="ar-SA"/>
              </w:rPr>
            </w:pPr>
            <w:r>
              <w:rPr>
                <w:rFonts w:hint="eastAsia" w:ascii="宋体" w:hAnsi="宋体" w:eastAsia="宋体" w:cs="宋体"/>
                <w:spacing w:val="-11"/>
                <w:kern w:val="16"/>
                <w:sz w:val="21"/>
                <w:szCs w:val="21"/>
                <w:lang w:val="en-US" w:eastAsia="zh-CN"/>
              </w:rPr>
              <w:t>C</w:t>
            </w:r>
            <w:r>
              <w:rPr>
                <w:rFonts w:hint="eastAsia" w:ascii="宋体" w:hAnsi="宋体" w:eastAsia="宋体" w:cs="宋体"/>
                <w:spacing w:val="-11"/>
                <w:kern w:val="16"/>
                <w:sz w:val="21"/>
                <w:szCs w:val="21"/>
              </w:rPr>
              <w:t>4、本地服务能力（</w:t>
            </w:r>
            <w:r>
              <w:rPr>
                <w:rFonts w:hint="eastAsia" w:ascii="宋体" w:hAnsi="宋体" w:eastAsia="宋体" w:cs="宋体"/>
                <w:spacing w:val="-11"/>
                <w:kern w:val="16"/>
                <w:sz w:val="21"/>
                <w:szCs w:val="21"/>
                <w:lang w:val="en-US" w:eastAsia="zh-CN"/>
              </w:rPr>
              <w:t>5</w:t>
            </w:r>
            <w:r>
              <w:rPr>
                <w:rFonts w:hint="eastAsia" w:ascii="宋体" w:hAnsi="宋体" w:eastAsia="宋体" w:cs="宋体"/>
                <w:spacing w:val="-11"/>
                <w:kern w:val="16"/>
                <w:sz w:val="21"/>
                <w:szCs w:val="21"/>
              </w:rPr>
              <w:t>分）</w:t>
            </w:r>
          </w:p>
        </w:tc>
        <w:tc>
          <w:tcPr>
            <w:tcW w:w="6525" w:type="dxa"/>
            <w:noWrap w:val="0"/>
            <w:vAlign w:val="center"/>
          </w:tcPr>
          <w:p>
            <w:pPr>
              <w:spacing w:line="240" w:lineRule="auto"/>
              <w:ind w:firstLine="0" w:firstLineChars="0"/>
              <w:rPr>
                <w:rFonts w:hint="eastAsia" w:ascii="宋体" w:hAnsi="宋体" w:eastAsia="宋体" w:cs="宋体"/>
                <w:spacing w:val="-11"/>
                <w:kern w:val="16"/>
                <w:sz w:val="21"/>
                <w:szCs w:val="21"/>
                <w:lang w:val="en-US" w:eastAsia="zh-CN" w:bidi="ar-SA"/>
              </w:rPr>
            </w:pPr>
            <w:r>
              <w:rPr>
                <w:rFonts w:hint="eastAsia" w:ascii="宋体" w:hAnsi="宋体" w:eastAsia="宋体" w:cs="宋体"/>
                <w:spacing w:val="-11"/>
                <w:kern w:val="16"/>
                <w:sz w:val="21"/>
                <w:szCs w:val="21"/>
              </w:rPr>
              <w:t>投标单位本地服务能力，在深圳市有合法注册的单位得5分；注册地在深圳市外，但承诺中标后在深圳设立项目点得3分，须提供机构营业执照扫描件，原件备查，否则不得分。</w:t>
            </w:r>
          </w:p>
        </w:tc>
        <w:tc>
          <w:tcPr>
            <w:tcW w:w="977" w:type="dxa"/>
            <w:noWrap w:val="0"/>
            <w:vAlign w:val="top"/>
          </w:tcPr>
          <w:p>
            <w:pPr>
              <w:rPr>
                <w:rFonts w:hint="eastAsia"/>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314" w:type="dxa"/>
            <w:vMerge w:val="continue"/>
            <w:noWrap w:val="0"/>
            <w:vAlign w:val="center"/>
          </w:tcPr>
          <w:p>
            <w:pPr>
              <w:jc w:val="center"/>
              <w:rPr>
                <w:rFonts w:hint="eastAsia"/>
                <w:sz w:val="24"/>
                <w:szCs w:val="24"/>
              </w:rPr>
            </w:pPr>
          </w:p>
        </w:tc>
        <w:tc>
          <w:tcPr>
            <w:tcW w:w="788" w:type="dxa"/>
            <w:vMerge w:val="continue"/>
            <w:noWrap w:val="0"/>
            <w:vAlign w:val="center"/>
          </w:tcPr>
          <w:p>
            <w:pPr>
              <w:jc w:val="center"/>
              <w:rPr>
                <w:rFonts w:hint="eastAsia"/>
                <w:sz w:val="24"/>
                <w:szCs w:val="24"/>
              </w:rPr>
            </w:pPr>
          </w:p>
        </w:tc>
        <w:tc>
          <w:tcPr>
            <w:tcW w:w="7815" w:type="dxa"/>
            <w:gridSpan w:val="2"/>
            <w:noWrap w:val="0"/>
            <w:vAlign w:val="center"/>
          </w:tcPr>
          <w:p>
            <w:pPr>
              <w:jc w:val="center"/>
              <w:rPr>
                <w:rFonts w:hint="default" w:eastAsia="仿宋_GB2312"/>
                <w:sz w:val="24"/>
                <w:szCs w:val="24"/>
                <w:lang w:val="en-US" w:eastAsia="zh-CN"/>
              </w:rPr>
            </w:pPr>
            <w:r>
              <w:rPr>
                <w:rFonts w:hint="eastAsia"/>
                <w:sz w:val="24"/>
                <w:szCs w:val="24"/>
                <w:highlight w:val="none"/>
              </w:rPr>
              <w:t>商务部分得分（C）=C1+C2</w:t>
            </w:r>
            <w:r>
              <w:rPr>
                <w:rFonts w:hint="eastAsia"/>
                <w:sz w:val="24"/>
                <w:szCs w:val="24"/>
                <w:highlight w:val="none"/>
                <w:lang w:val="en-US" w:eastAsia="zh-CN"/>
              </w:rPr>
              <w:t>+C3+C4</w:t>
            </w:r>
          </w:p>
        </w:tc>
        <w:tc>
          <w:tcPr>
            <w:tcW w:w="977" w:type="dxa"/>
            <w:noWrap w:val="0"/>
            <w:vAlign w:val="top"/>
          </w:tcPr>
          <w:p>
            <w:pPr>
              <w:rPr>
                <w:rFonts w:hint="eastAsia"/>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917" w:type="dxa"/>
            <w:gridSpan w:val="4"/>
            <w:noWrap w:val="0"/>
            <w:vAlign w:val="center"/>
          </w:tcPr>
          <w:p>
            <w:pPr>
              <w:jc w:val="center"/>
              <w:rPr>
                <w:rFonts w:hint="default" w:eastAsia="仿宋_GB2312"/>
                <w:sz w:val="24"/>
                <w:szCs w:val="24"/>
                <w:highlight w:val="none"/>
                <w:lang w:val="en-US" w:eastAsia="zh-CN"/>
              </w:rPr>
            </w:pPr>
            <w:r>
              <w:rPr>
                <w:rFonts w:hint="eastAsia"/>
                <w:sz w:val="24"/>
                <w:szCs w:val="24"/>
                <w:highlight w:val="none"/>
              </w:rPr>
              <w:t>评标总得分 Z = A + B + C</w:t>
            </w:r>
          </w:p>
        </w:tc>
        <w:tc>
          <w:tcPr>
            <w:tcW w:w="977" w:type="dxa"/>
            <w:noWrap w:val="0"/>
            <w:vAlign w:val="center"/>
          </w:tcPr>
          <w:p>
            <w:pPr>
              <w:rPr>
                <w:rFonts w:hint="eastAsia"/>
                <w:sz w:val="30"/>
                <w:szCs w:val="30"/>
                <w:highlight w:val="none"/>
              </w:rPr>
            </w:pPr>
          </w:p>
        </w:tc>
      </w:tr>
    </w:tbl>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12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widowControl w:val="0"/>
      <w:jc w:val="both"/>
    </w:pPr>
    <w:rPr>
      <w:rFonts w:ascii="Calibri" w:hAnsi="Calibri" w:eastAsia="仿宋_GB2312" w:cs="Times New Roman"/>
      <w:spacing w:val="10"/>
      <w:kern w:val="2"/>
      <w:sz w:val="32"/>
      <w:szCs w:val="24"/>
      <w:lang w:val="en-US" w:eastAsia="zh-CN" w:bidi="ar-SA"/>
    </w:rPr>
  </w:style>
  <w:style w:type="paragraph" w:customStyle="1" w:styleId="3">
    <w:name w:val="正文文本 21"/>
    <w:qFormat/>
    <w:uiPriority w:val="0"/>
    <w:pPr>
      <w:widowControl w:val="0"/>
      <w:tabs>
        <w:tab w:val="left" w:pos="4620"/>
      </w:tabs>
      <w:spacing w:after="120" w:line="480" w:lineRule="auto"/>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2021-12-02T12:09:27Z</dcterms:created>
  <dc:creator>Administrator</dc:creator>
  <cp:lastModifiedBy>Darcya</cp:lastModifiedBy>
  <dcterms:modified xsi:type="dcterms:W3CDTF">2021-12-02T12:10:42Z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