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autoSpaceDN/>
        <w:bidi w:val="0"/>
        <w:adjustRightInd/>
        <w:snapToGrid/>
        <w:spacing w:after="0" w:afterLines="0" w:line="240" w:lineRule="auto"/>
        <w:ind w:right="0" w:rightChars="0"/>
        <w:jc w:val="both"/>
        <w:textAlignment w:val="auto"/>
        <w:outlineLvl w:val="9"/>
        <w:rPr>
          <w:rFonts w:hint="default" w:ascii="黑体" w:hAnsi="黑体" w:eastAsia="黑体" w:cs="Times New Roman"/>
          <w:spacing w:val="10"/>
          <w:sz w:val="32"/>
          <w:szCs w:val="32"/>
          <w:lang w:val="en-US"/>
        </w:rPr>
      </w:pPr>
      <w:r>
        <w:rPr>
          <w:rFonts w:hint="eastAsia" w:ascii="黑体" w:hAnsi="黑体" w:eastAsia="黑体" w:cs="Times New Roman"/>
          <w:spacing w:val="10"/>
          <w:sz w:val="32"/>
          <w:szCs w:val="32"/>
        </w:rPr>
        <w:t>附件</w:t>
      </w:r>
      <w:r>
        <w:rPr>
          <w:rFonts w:hint="eastAsia" w:ascii="黑体" w:hAnsi="黑体" w:eastAsia="黑体" w:cs="Times New Roman"/>
          <w:spacing w:val="10"/>
          <w:sz w:val="32"/>
          <w:szCs w:val="32"/>
          <w:lang w:val="en-US" w:eastAsia="zh-CN"/>
        </w:rPr>
        <w:t>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241" w:firstLineChars="1013"/>
        <w:jc w:val="both"/>
        <w:rPr>
          <w:rFonts w:hint="eastAsia" w:ascii="黑体" w:hAnsi="黑体" w:eastAsia="黑体" w:cs="Times New Roman"/>
          <w:spacing w:val="10"/>
          <w:sz w:val="32"/>
          <w:szCs w:val="32"/>
        </w:rPr>
      </w:pPr>
      <w:r>
        <w:rPr>
          <w:rFonts w:hint="eastAsia" w:ascii="方正小标宋简体" w:hAnsi="方正小标宋简体" w:eastAsia="方正小标宋简体" w:cs="方正小标宋简体"/>
          <w:i w:val="0"/>
          <w:caps w:val="0"/>
          <w:color w:val="000000" w:themeColor="text1"/>
          <w:spacing w:val="0"/>
          <w:kern w:val="2"/>
          <w:sz w:val="32"/>
          <w:szCs w:val="32"/>
          <w:shd w:val="clear" w:color="auto" w:fill="FFFFFF"/>
          <w:lang w:val="en-US" w:eastAsia="zh-CN" w:bidi="ar-SA"/>
          <w14:textFill>
            <w14:solidFill>
              <w14:schemeClr w14:val="tx1"/>
            </w14:solidFill>
          </w14:textFill>
        </w:rPr>
        <w:t>评分细则</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29"/>
        <w:gridCol w:w="634"/>
        <w:gridCol w:w="2273"/>
        <w:gridCol w:w="890"/>
        <w:gridCol w:w="40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228"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评分项</w:t>
            </w:r>
          </w:p>
        </w:tc>
        <w:tc>
          <w:tcPr>
            <w:tcW w:w="240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价格</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left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Times New Roman" w:hAnsi="Times New Roman" w:eastAsia="宋体" w:cs="Times New Roman"/>
              </w:rPr>
            </w:pPr>
          </w:p>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评分细则</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_GB2312" w:hAnsi="仿宋_GB2312" w:eastAsia="宋体" w:cs="仿宋_GB2312"/>
                <w:b/>
                <w:bCs/>
                <w:sz w:val="32"/>
                <w:szCs w:val="32"/>
                <w:lang w:val="en-US" w:eastAsia="zh-CN"/>
              </w:rPr>
            </w:pPr>
            <w:r>
              <w:rPr>
                <w:rFonts w:hint="eastAsia" w:ascii="仿宋_GB2312" w:hAnsi="宋体" w:eastAsia="仿宋_GB2312"/>
                <w:b w:val="0"/>
                <w:bCs w:val="0"/>
                <w:sz w:val="24"/>
                <w:szCs w:val="24"/>
                <w:lang w:val="en-US" w:eastAsia="zh-CN"/>
              </w:rPr>
              <w:t>满足招标文件要求且投标价格最低的投标报价为评标基准价，其价格分为满分。其他投标人的价格分统一按照下列公式计算：投标报价得分=（评标基准价/投标报价）×30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技术部分</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b/>
                <w:bCs/>
                <w:sz w:val="32"/>
                <w:szCs w:val="32"/>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4630" w:type="pct"/>
            <w:gridSpan w:val="4"/>
            <w:tcBorders>
              <w:top w:val="single" w:color="000000" w:sz="8" w:space="0"/>
              <w:left w:val="single" w:color="000000" w:sz="8" w:space="0"/>
              <w:bottom w:val="single" w:color="000000" w:sz="8" w:space="0"/>
              <w:right w:val="single" w:color="000000" w:sz="8" w:space="0"/>
            </w:tcBorders>
          </w:tcPr>
          <w:p>
            <w:pPr>
              <w:wordWrap w:val="0"/>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仿宋_GB2312" w:hAnsi="仿宋_GB2312" w:eastAsia="仿宋_GB2312" w:cs="仿宋_GB2312"/>
                <w:b/>
                <w:bCs/>
                <w:color w:val="0000FF"/>
                <w:sz w:val="32"/>
                <w:szCs w:val="32"/>
              </w:rPr>
            </w:pPr>
          </w:p>
        </w:tc>
        <w:tc>
          <w:tcPr>
            <w:tcW w:w="37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34"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52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240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实施方案</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项目方案具有项目总体概述，根据业务需求提供符合要求的方案。方案要有针对性、有侧重点，条理清晰、表述完整；内容要全面、准确，且具有可操作性。</w:t>
            </w:r>
          </w:p>
          <w:p>
            <w:pPr>
              <w:numPr>
                <w:ilvl w:val="0"/>
                <w:numId w:val="0"/>
              </w:numPr>
              <w:spacing w:line="360" w:lineRule="auto"/>
              <w:ind w:firstLine="480" w:firstLineChars="200"/>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在以上内容完整的基础上，根据内容的合理性、实用性进行评分：（1）项目方案内容合理全面、实用性强；（2）项目方案内容具有针对性；（3）项目方案内容具备实用性，可操作性。满足以上3项要求为优得10分、满足2项为良得7分、仅满足1项为中得4分、不满足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项目重点难点分析、应对措施及相关的合理化建议</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2402" w:type="pct"/>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服务目标、工作目标清晰明确，要求对项目服务中可能出现的重点难点考虑细致，并能提供具有可操作性的解决方案、应对措施及相关的合理化建议。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1.重点分析合理准确；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2.解决方案科学可行；</w:t>
            </w:r>
          </w:p>
          <w:p>
            <w:pPr>
              <w:numPr>
                <w:ilvl w:val="0"/>
                <w:numId w:val="0"/>
              </w:numPr>
              <w:spacing w:line="360" w:lineRule="auto"/>
              <w:jc w:val="left"/>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3.有能力组建讲师团、针对性地开展“五进”宣讲活动。</w:t>
            </w:r>
          </w:p>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满足以上3项要求为优得10分、满足2项为良得7分、仅满足1项为中得4分、不满足不得分。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质量（完成时间、安全、环保）保障措施及方案</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w:t>
            </w:r>
          </w:p>
        </w:tc>
        <w:tc>
          <w:tcPr>
            <w:tcW w:w="2402" w:type="pct"/>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按照进度要求控制好各环节工作，确保服务质量和响应速度。项目进度和质量的保障措施具体、合理、可行性进行评价。 </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1.给出分阶段项目时间安排、工作进度与阶段性成果；</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2.详细阐述项目时间管理、质量管理制度与措施；</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3.详细阐述项目资料、成果安全性保障制度与措施。</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满足以上3项要求为优得10分、满足2项为良得7分、仅满足1项为中得4分、不满足不得分。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334"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违约承诺</w:t>
            </w:r>
          </w:p>
        </w:tc>
        <w:tc>
          <w:tcPr>
            <w:tcW w:w="522"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402" w:type="pct"/>
            <w:tcBorders>
              <w:top w:val="single" w:color="auto" w:sz="4" w:space="0"/>
              <w:left w:val="single" w:color="auto" w:sz="4" w:space="0"/>
              <w:bottom w:val="single" w:color="auto" w:sz="4" w:space="0"/>
              <w:right w:val="single" w:color="auto" w:sz="4"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投标人承诺以下全部3项的得5分，否则不得分。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1.人员严格按照招标文件及投标承诺配置；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2.服务质量达到招标文件要求；</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3.对未能达到的管理要求承担管理责任。</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要求提供承诺（格式自定）作为得分依据，未提供承诺或承诺内容不满足要求不得分。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综合实力</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sz w:val="32"/>
                <w:szCs w:val="32"/>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4630" w:type="pct"/>
            <w:gridSpan w:val="4"/>
            <w:tcBorders>
              <w:top w:val="single" w:color="000000" w:sz="8" w:space="0"/>
              <w:left w:val="single" w:color="000000" w:sz="8" w:space="0"/>
              <w:bottom w:val="single" w:color="000000" w:sz="8" w:space="0"/>
              <w:right w:val="single" w:color="000000" w:sz="8" w:space="0"/>
            </w:tcBorders>
          </w:tcPr>
          <w:p>
            <w:pPr>
              <w:wordWrap w:val="0"/>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40" w:hRule="atLeast"/>
          <w:jc w:val="center"/>
        </w:trPr>
        <w:tc>
          <w:tcPr>
            <w:tcW w:w="369"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仿宋_GB2312" w:hAnsi="仿宋_GB2312" w:eastAsia="仿宋_GB2312" w:cs="仿宋_GB2312"/>
                <w:b/>
                <w:bCs/>
                <w:color w:val="0000FF"/>
                <w:sz w:val="32"/>
                <w:szCs w:val="32"/>
              </w:rPr>
            </w:pPr>
          </w:p>
        </w:tc>
        <w:tc>
          <w:tcPr>
            <w:tcW w:w="37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34"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52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240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15" w:hRule="atLeast"/>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同类项目业绩</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10</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1.评审内容： </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投标人承接过文化宣传策划类、政府活动类、公益活动类、影视类服务相关情况。</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提供项目过上述相关服务业绩，每1份得5分，累计得分不超过10分。</w:t>
            </w:r>
          </w:p>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2.评分依据：须提供相关合同关键页（证明文件中须清晰体现项目签订时间、项目金额、项目内容等）复印件加盖投标人公章。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供应商获奖情况</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1.评分内容：</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1.曾获得区级以上政府单位颁发活动类策划奖项；每1个奖项得1分，累计得分不超过5分。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2.评分依据：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1.要求提供奖项照片或获奖（荣誉）证书等证明材料作为得分依据。</w:t>
            </w:r>
          </w:p>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2.以上资料均要求提供扫描件（或官方网站截图），原件备查。评分中出现无证明资料或专家无法凭所提供资料判断是否得分的情况，一律作不得分处理</w:t>
            </w:r>
            <w:r>
              <w:rPr>
                <w:rFonts w:hint="eastAsia" w:ascii="仿宋_GB2312" w:hAnsi="仿宋_GB2312" w:eastAsia="仿宋_GB2312" w:cs="仿宋_GB2312"/>
                <w:sz w:val="28"/>
                <w:szCs w:val="2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拟安排的项目负责人情况（仅限一人）</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评分内容：1、学历：取得的本科学历得1分。 </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2、经验：具有组织、策划社会活动项目经验得2分。 </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3、有从事媒体宣传工作经验的或发表、采写过新闻报道、学术论文等经历的得2分；未有过经验的，本项不得分。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评分依据： </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1.要求提供通过投标人缴纳的近三个月（2022年7月至2022年9月）社保证明作为本单位员工的证明依据。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2.要求提供投标人相关证明资料作为得分依据。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3.以上资料均要求提供扫描件（或官方网站截图），原件备查。评分中出现无证明资料或专家无法凭所提供资料判断是否得分的情况，一律作不得分处理。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拟安排的项目主要团队成员（主要技术人员）情况（项目负责人除外）</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10</w:t>
            </w:r>
          </w:p>
        </w:tc>
        <w:tc>
          <w:tcPr>
            <w:tcW w:w="2402" w:type="pct"/>
            <w:tcBorders>
              <w:top w:val="single" w:color="000000" w:sz="8" w:space="0"/>
              <w:left w:val="single" w:color="000000" w:sz="8" w:space="0"/>
              <w:bottom w:val="single" w:color="000000" w:sz="8" w:space="0"/>
              <w:right w:val="single" w:color="000000" w:sz="8" w:space="0"/>
            </w:tcBorders>
            <w:vAlign w:val="top"/>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评分内容：1.项目团队成员为5人及以上的，且至少一人参加过政府新闻、公告、文献采写编辑的得5分，没有不得分。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2.项目团队成员均参与过社会活动项目组织策划的得5分，仅有1名或以上参与过此类项目的得2分，没有不得分。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评分依据：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1.要求提供通过投标人缴纳的近三个月（2022年7月至2022年9月）社保证明作为本单位员工的证明依据。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2.要求提供投标人相关证明资料作为得分依据。</w:t>
            </w:r>
          </w:p>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3. 以上资料均要求提供扫描件（或官方网站截图），原件备查。评分中出现无证明资料或专家无法凭所提供资料判断是否得分的情况，一律作不得分处理</w:t>
            </w:r>
            <w:r>
              <w:rPr>
                <w:rFonts w:hint="eastAsia" w:ascii="仿宋_GB2312" w:hAnsi="仿宋_GB2312" w:eastAsia="仿宋_GB2312" w:cs="仿宋_GB2312"/>
                <w:sz w:val="28"/>
                <w:szCs w:val="2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诚信情况</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restart"/>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仿宋_GB2312" w:hAnsi="仿宋_GB2312" w:eastAsia="仿宋_GB2312" w:cs="仿宋_GB2312"/>
                <w:b/>
                <w:bCs/>
                <w:color w:val="0000FF"/>
                <w:sz w:val="32"/>
                <w:szCs w:val="32"/>
              </w:rPr>
            </w:pPr>
          </w:p>
        </w:tc>
        <w:tc>
          <w:tcPr>
            <w:tcW w:w="37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34"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52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240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诚信情况</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投标人在参与政府采购活动中存在诚信相关问题且在主管部门相关处理措施实施期限内的，本项不得分，否则得满分。（本项由投标单位提供《诚信承诺函》，不提供不得分）</w:t>
            </w:r>
          </w:p>
        </w:tc>
      </w:tr>
    </w:tbl>
    <w:p>
      <w:pPr>
        <w:pStyle w:val="2"/>
        <w:rPr>
          <w:rFonts w:hint="eastAsia" w:ascii="黑体" w:hAnsi="黑体" w:eastAsia="黑体" w:cs="Times New Roman"/>
          <w:spacing w:val="10"/>
          <w:sz w:val="32"/>
          <w:szCs w:val="32"/>
        </w:rPr>
      </w:pPr>
    </w:p>
    <w:p>
      <w:pPr>
        <w:pStyle w:val="2"/>
        <w:rPr>
          <w:rFonts w:hint="eastAsia" w:ascii="黑体" w:hAnsi="黑体" w:eastAsia="黑体" w:cs="Times New Roman"/>
          <w:spacing w:val="10"/>
          <w:sz w:val="32"/>
          <w:szCs w:val="32"/>
        </w:rPr>
      </w:pPr>
    </w:p>
    <w:p>
      <w:pPr>
        <w:pStyle w:val="2"/>
        <w:rPr>
          <w:rFonts w:hint="eastAsia" w:ascii="黑体" w:hAnsi="黑体" w:eastAsia="黑体" w:cs="Times New Roman"/>
          <w:spacing w:val="10"/>
          <w:sz w:val="32"/>
          <w:szCs w:val="32"/>
        </w:rPr>
      </w:pPr>
    </w:p>
    <w:p>
      <w:pPr>
        <w:pStyle w:val="2"/>
        <w:rPr>
          <w:rFonts w:hint="eastAsia" w:ascii="黑体" w:hAnsi="黑体" w:eastAsia="黑体" w:cs="Times New Roman"/>
          <w:spacing w:val="1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fc9dd623504ec4474312c2172e77e02e@31940&amp;webOffice=1&amp;identityId=ED7CAD82E908A4E577D866E35B3C71C7&amp;token=d7c35626d9ad43ccb5d205ef3a375fa9&amp;identityId=ED7CAD82E908A4E577D866E35B3C71C7&amp;wjbh=B202205730&amp;hddyid=LCA010001_HD_01&amp;fileSrcName=2022_10_13_10_40_34_fedce1a3a82247ea949c50ebaa4be34a.docx"/>
  </w:docVars>
  <w:rsids>
    <w:rsidRoot w:val="77773DB2"/>
    <w:rsid w:val="00B22ADF"/>
    <w:rsid w:val="03C90B6B"/>
    <w:rsid w:val="043F7BC2"/>
    <w:rsid w:val="044A09A5"/>
    <w:rsid w:val="07F001BC"/>
    <w:rsid w:val="08A06862"/>
    <w:rsid w:val="0BD85C77"/>
    <w:rsid w:val="0D073997"/>
    <w:rsid w:val="0E274976"/>
    <w:rsid w:val="0F840A47"/>
    <w:rsid w:val="0FD12324"/>
    <w:rsid w:val="12604DBD"/>
    <w:rsid w:val="155246E7"/>
    <w:rsid w:val="1F5A2BE2"/>
    <w:rsid w:val="218E5696"/>
    <w:rsid w:val="243C0B7C"/>
    <w:rsid w:val="2BBC178C"/>
    <w:rsid w:val="2C6127F7"/>
    <w:rsid w:val="2D6A6CF3"/>
    <w:rsid w:val="2DE0049D"/>
    <w:rsid w:val="2E055377"/>
    <w:rsid w:val="35C60FDC"/>
    <w:rsid w:val="36CF2214"/>
    <w:rsid w:val="3E957241"/>
    <w:rsid w:val="424F6AFD"/>
    <w:rsid w:val="42772543"/>
    <w:rsid w:val="442872C5"/>
    <w:rsid w:val="4A046D32"/>
    <w:rsid w:val="4AA15384"/>
    <w:rsid w:val="4AD2614A"/>
    <w:rsid w:val="4F8C4B0E"/>
    <w:rsid w:val="5455033C"/>
    <w:rsid w:val="579200E3"/>
    <w:rsid w:val="57AF69AE"/>
    <w:rsid w:val="5BD40F51"/>
    <w:rsid w:val="69274A9A"/>
    <w:rsid w:val="6AC45686"/>
    <w:rsid w:val="6C3B1B17"/>
    <w:rsid w:val="6DF10ECC"/>
    <w:rsid w:val="73F82C4E"/>
    <w:rsid w:val="77773DB2"/>
    <w:rsid w:val="789D458E"/>
    <w:rsid w:val="7AB80357"/>
    <w:rsid w:val="7B5B600B"/>
    <w:rsid w:val="7BDC7D64"/>
    <w:rsid w:val="7C06069C"/>
    <w:rsid w:val="7E30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0"/>
      <w:szCs w:val="3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Calibri" w:hAnsi="Calibri" w:eastAsia="仿宋_GB2312" w:cs="Times New Roman"/>
      <w:spacing w:val="10"/>
      <w:kern w:val="2"/>
      <w:sz w:val="32"/>
      <w:szCs w:val="24"/>
      <w:lang w:val="en-US" w:eastAsia="zh-CN" w:bidi="ar-SA"/>
    </w:r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4">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5474</Words>
  <Characters>5670</Characters>
  <Lines>0</Lines>
  <Paragraphs>0</Paragraphs>
  <TotalTime>1</TotalTime>
  <ScaleCrop>false</ScaleCrop>
  <LinksUpToDate>false</LinksUpToDate>
  <CharactersWithSpaces>6068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2022-10-10T06:58:00Z</dcterms:created>
  <dc:creator>W-ne</dc:creator>
  <cp:lastModifiedBy>Darcya</cp:lastModifiedBy>
  <dcterms:modified xsi:type="dcterms:W3CDTF">2022-10-13T02:42:28Z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C99386B5AA6F4033BB8DA87AEE30594D</vt:lpwstr>
  </property>
</Properties>
</file>