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hint="eastAsia" w:ascii="黑体" w:eastAsia="黑体" w:cs="黑体"/>
          <w:sz w:val="32"/>
          <w:szCs w:val="32"/>
        </w:rPr>
      </w:pPr>
      <w:r>
        <w:rPr>
          <w:rFonts w:hint="eastAsia" w:ascii="黑体" w:eastAsia="黑体" w:cs="黑体"/>
          <w:sz w:val="32"/>
          <w:szCs w:val="32"/>
        </w:rPr>
        <w:t>附件1</w:t>
      </w:r>
    </w:p>
    <w:p>
      <w:pPr>
        <w:bidi w:val="0"/>
        <w:rPr>
          <w:rFonts w:hint="eastAsia"/>
        </w:rPr>
      </w:pPr>
    </w:p>
    <w:p>
      <w:pPr>
        <w:keepNext w:val="0"/>
        <w:keepLines w:val="0"/>
        <w:pageBreakBefore w:val="0"/>
        <w:widowControl w:val="0"/>
        <w:kinsoku/>
        <w:wordWrap/>
        <w:overflowPunct w:val="0"/>
        <w:topLinePunct w:val="0"/>
        <w:autoSpaceDE w:val="0"/>
        <w:autoSpaceDN w:val="0"/>
        <w:bidi w:val="0"/>
        <w:adjustRightInd/>
        <w:snapToGrid/>
        <w:spacing w:line="720" w:lineRule="exact"/>
        <w:jc w:val="center"/>
        <w:textAlignment w:val="auto"/>
        <w:rPr>
          <w:rFonts w:hint="eastAsia" w:ascii="方正小标宋简体" w:eastAsia="方正小标宋简体" w:cs="方正小标宋简体"/>
          <w:spacing w:val="0"/>
          <w:kern w:val="0"/>
          <w:sz w:val="44"/>
          <w:szCs w:val="44"/>
          <w:lang w:eastAsia="zh-CN"/>
        </w:rPr>
      </w:pPr>
      <w:r>
        <w:rPr>
          <w:rFonts w:hint="eastAsia" w:ascii="方正小标宋简体" w:eastAsia="方正小标宋简体" w:cs="方正小标宋简体"/>
          <w:spacing w:val="0"/>
          <w:kern w:val="0"/>
          <w:sz w:val="44"/>
          <w:szCs w:val="44"/>
          <w:lang w:val="en-US" w:eastAsia="zh-CN"/>
        </w:rPr>
        <w:t>深圳市退役军人事务局关于</w:t>
      </w:r>
      <w:r>
        <w:rPr>
          <w:rFonts w:hint="eastAsia" w:ascii="方正小标宋简体" w:eastAsia="方正小标宋简体" w:cs="方正小标宋简体"/>
          <w:spacing w:val="0"/>
          <w:kern w:val="0"/>
          <w:sz w:val="44"/>
          <w:szCs w:val="44"/>
        </w:rPr>
        <w:t>加强双拥</w:t>
      </w:r>
      <w:r>
        <w:rPr>
          <w:rFonts w:hint="eastAsia" w:ascii="方正小标宋简体" w:eastAsia="方正小标宋简体" w:cs="方正小标宋简体"/>
          <w:spacing w:val="0"/>
          <w:kern w:val="0"/>
          <w:sz w:val="44"/>
          <w:szCs w:val="44"/>
          <w:lang w:eastAsia="zh-CN"/>
        </w:rPr>
        <w:t>优抚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eastAsia="方正小标宋简体"/>
          <w:sz w:val="44"/>
          <w:szCs w:val="44"/>
        </w:rPr>
      </w:pPr>
      <w:r>
        <w:rPr>
          <w:rFonts w:hint="eastAsia" w:ascii="方正小标宋简体" w:eastAsia="方正小标宋简体" w:cs="方正小标宋简体"/>
          <w:spacing w:val="0"/>
          <w:kern w:val="0"/>
          <w:sz w:val="44"/>
          <w:szCs w:val="44"/>
        </w:rPr>
        <w:t>褒扬平台</w:t>
      </w:r>
      <w:r>
        <w:rPr>
          <w:rFonts w:hint="eastAsia" w:ascii="方正小标宋简体" w:eastAsia="方正小标宋简体" w:cs="方正小标宋简体"/>
          <w:spacing w:val="0"/>
          <w:kern w:val="0"/>
          <w:sz w:val="44"/>
          <w:szCs w:val="44"/>
          <w:lang w:val="en-US" w:eastAsia="zh-CN"/>
        </w:rPr>
        <w:t>管理工作</w:t>
      </w:r>
      <w:r>
        <w:rPr>
          <w:rFonts w:hint="eastAsia" w:ascii="方正小标宋简体" w:eastAsia="方正小标宋简体" w:cs="方正小标宋简体"/>
          <w:sz w:val="44"/>
          <w:szCs w:val="44"/>
          <w:lang w:val="en-US" w:eastAsia="zh-CN"/>
        </w:rPr>
        <w:t>的</w:t>
      </w:r>
      <w:r>
        <w:rPr>
          <w:rFonts w:hint="eastAsia" w:ascii="方正小标宋简体" w:eastAsia="方正小标宋简体"/>
          <w:sz w:val="44"/>
          <w:szCs w:val="44"/>
        </w:rPr>
        <w:t>综合评分表</w:t>
      </w:r>
    </w:p>
    <w:p>
      <w:pPr>
        <w:bidi w:val="0"/>
      </w:pPr>
    </w:p>
    <w:tbl>
      <w:tblPr>
        <w:tblStyle w:val="12"/>
        <w:tblW w:w="900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52"/>
        <w:gridCol w:w="714"/>
        <w:gridCol w:w="65"/>
        <w:gridCol w:w="1256"/>
        <w:gridCol w:w="679"/>
        <w:gridCol w:w="5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序号</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评分项</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szCs w:val="21"/>
              </w:rPr>
              <w:t>1</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价格</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ascii="宋体"/>
                <w:b/>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szCs w:val="21"/>
              </w:rPr>
              <w:t>2</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hint="eastAsia" w:ascii="宋体"/>
                <w:b/>
                <w:szCs w:val="21"/>
              </w:rPr>
              <w:t>技术</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Cs w:val="21"/>
              </w:rPr>
            </w:pPr>
            <w:r>
              <w:rPr>
                <w:rFonts w:ascii="宋体"/>
                <w:b/>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3" w:hRule="atLeast"/>
        </w:trPr>
        <w:tc>
          <w:tcPr>
            <w:tcW w:w="352" w:type="dxa"/>
            <w:vMerge w:val="restart"/>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p>
        </w:tc>
        <w:tc>
          <w:tcPr>
            <w:tcW w:w="714"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序号</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内容</w:t>
            </w:r>
          </w:p>
        </w:tc>
        <w:tc>
          <w:tcPr>
            <w:tcW w:w="679"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权重</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b/>
                <w:szCs w:val="21"/>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trPr>
        <w:tc>
          <w:tcPr>
            <w:tcW w:w="352" w:type="dxa"/>
            <w:vMerge w:val="continue"/>
            <w:tcBorders>
              <w:top w:val="single" w:color="auto"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auto" w:sz="4" w:space="0"/>
              <w:left w:val="single" w:color="000000" w:sz="4" w:space="0"/>
              <w:bottom w:val="single" w:color="000000" w:sz="4" w:space="0"/>
              <w:right w:val="single" w:color="000000" w:sz="4" w:space="0"/>
              <w:tl2br w:val="nil"/>
              <w:tr2bl w:val="nil"/>
            </w:tcBorders>
            <w:noWrap/>
            <w:vAlign w:val="center"/>
          </w:tcPr>
          <w:p>
            <w:pPr>
              <w:ind w:firstLine="190" w:firstLineChars="95"/>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1321" w:type="dxa"/>
            <w:gridSpan w:val="2"/>
            <w:tcBorders>
              <w:top w:val="single" w:color="auto"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实施方案</w:t>
            </w:r>
          </w:p>
        </w:tc>
        <w:tc>
          <w:tcPr>
            <w:tcW w:w="679" w:type="dxa"/>
            <w:tcBorders>
              <w:top w:val="single" w:color="auto"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kern w:val="0"/>
                <w:sz w:val="20"/>
                <w:szCs w:val="20"/>
                <w:lang w:bidi="ar-SA"/>
              </w:rPr>
            </w:pPr>
            <w:r>
              <w:rPr>
                <w:rFonts w:hint="eastAsia" w:ascii="仿宋_GB2312" w:hAnsi="仿宋_GB2312" w:eastAsia="仿宋_GB2312" w:cs="仿宋_GB2312"/>
                <w:sz w:val="20"/>
                <w:szCs w:val="20"/>
              </w:rPr>
              <w:t>10</w:t>
            </w:r>
          </w:p>
        </w:tc>
        <w:tc>
          <w:tcPr>
            <w:tcW w:w="5943" w:type="dxa"/>
            <w:tcBorders>
              <w:top w:val="single" w:color="auto"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bidi="ar-SA"/>
              </w:rPr>
              <w:t>评审内容：对投标人提供的实施方案的1.工作措施有效、2.工作方法得当、3.工作手段齐全、4.工作流程完善、5.兼容性安全可靠、6.对本项目的总体认识到位方面。</w:t>
            </w:r>
            <w:r>
              <w:rPr>
                <w:rFonts w:hint="eastAsia" w:ascii="仿宋_GB2312" w:hAnsi="仿宋_GB2312" w:eastAsia="仿宋_GB2312" w:cs="仿宋_GB2312"/>
                <w:kern w:val="0"/>
                <w:sz w:val="20"/>
                <w:szCs w:val="20"/>
                <w:lang w:val="en-US" w:eastAsia="zh-CN" w:bidi="ar-SA"/>
              </w:rPr>
              <w:t>评审委员会根据上述</w:t>
            </w:r>
            <w:r>
              <w:rPr>
                <w:rFonts w:hint="eastAsia" w:ascii="仿宋_GB2312" w:hAnsi="仿宋_GB2312" w:eastAsia="仿宋_GB2312" w:cs="仿宋_GB2312"/>
                <w:sz w:val="20"/>
                <w:szCs w:val="20"/>
              </w:rPr>
              <w:t>6项</w:t>
            </w:r>
            <w:r>
              <w:rPr>
                <w:rFonts w:hint="eastAsia" w:ascii="仿宋_GB2312" w:hAnsi="仿宋_GB2312" w:eastAsia="仿宋_GB2312" w:cs="仿宋_GB2312"/>
                <w:kern w:val="0"/>
                <w:sz w:val="20"/>
                <w:szCs w:val="20"/>
                <w:lang w:val="en-US" w:eastAsia="zh-CN" w:bidi="ar-SA"/>
              </w:rPr>
              <w:t>要求对投标文件响应情况</w:t>
            </w:r>
            <w:r>
              <w:rPr>
                <w:rFonts w:hint="eastAsia" w:ascii="仿宋_GB2312" w:hAnsi="仿宋_GB2312" w:eastAsia="仿宋_GB2312" w:cs="仿宋_GB2312"/>
                <w:kern w:val="0"/>
                <w:sz w:val="20"/>
                <w:szCs w:val="20"/>
              </w:rPr>
              <w:t>进行打分。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（1）满足3项及以下得3分；</w:t>
            </w:r>
          </w:p>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（2）满足4项得4分；</w:t>
            </w:r>
          </w:p>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（3）满足5项得5分；</w:t>
            </w:r>
          </w:p>
          <w:p>
            <w:pPr>
              <w:jc w:val="both"/>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（4）满足6项得6分；</w:t>
            </w:r>
          </w:p>
          <w:p>
            <w:pPr>
              <w:jc w:val="both"/>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SA"/>
              </w:rPr>
              <w:t>在此基础上：</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（1）对本项目总体认识到位，表述清晰，结构完整，经评估能切实有效的保障系统正常运行的评价为优，加4分；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（2）对本项目有总体认识到位，表述清晰，结构完整，经评估对保障系统正常运行效果一般的评价为良，加3分；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（3）对本项目有总体认识，但表述不清晰或结构不完整，评价为中，加2分；</w:t>
            </w:r>
          </w:p>
          <w:p>
            <w:pPr>
              <w:jc w:val="both"/>
              <w:rPr>
                <w:rFonts w:hint="eastAsia" w:ascii="仿宋_GB2312" w:hAnsi="仿宋_GB2312" w:eastAsia="仿宋_GB2312" w:cs="仿宋_GB2312"/>
                <w:kern w:val="0"/>
                <w:sz w:val="20"/>
                <w:szCs w:val="20"/>
                <w:lang w:bidi="ar-SA"/>
              </w:rPr>
            </w:pPr>
            <w:r>
              <w:rPr>
                <w:rFonts w:hint="eastAsia" w:ascii="仿宋_GB2312" w:hAnsi="仿宋_GB2312" w:eastAsia="仿宋_GB2312" w:cs="仿宋_GB2312"/>
                <w:kern w:val="0"/>
                <w:sz w:val="20"/>
                <w:szCs w:val="20"/>
                <w:lang w:val="en-US" w:eastAsia="zh-CN" w:bidi="ar-SA"/>
              </w:rPr>
              <w:t>（4）对本项目无总体认识的，评价为差，不加分。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ind w:firstLine="190" w:firstLineChars="95"/>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项目重点难点分析、应对措施及相关的合理化建议</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lang w:val="en-US" w:eastAsia="zh-CN" w:bidi="ar-SA"/>
              </w:rPr>
              <w:t>评审内容：此项投标人需针对本项目重点和难点、应对措施及相关的合理化建议提供具体解决方案和应对措施。</w:t>
            </w:r>
            <w:r>
              <w:rPr>
                <w:rFonts w:hint="eastAsia" w:ascii="仿宋_GB2312" w:hAnsi="仿宋_GB2312" w:eastAsia="仿宋_GB2312" w:cs="仿宋_GB2312"/>
                <w:kern w:val="0"/>
                <w:sz w:val="20"/>
                <w:szCs w:val="20"/>
              </w:rPr>
              <w:t>方案要求：1.</w:t>
            </w:r>
            <w:r>
              <w:rPr>
                <w:rFonts w:hint="eastAsia" w:ascii="仿宋_GB2312" w:hAnsi="仿宋_GB2312" w:eastAsia="仿宋_GB2312" w:cs="仿宋_GB2312"/>
                <w:bCs/>
                <w:kern w:val="0"/>
                <w:sz w:val="20"/>
                <w:szCs w:val="20"/>
              </w:rPr>
              <w:t>技术服务的系统方面、2.信息收集方面、3.数据服务方面、4.营运方面、5.数据规范方面、6.数据成果方面</w:t>
            </w:r>
            <w:r>
              <w:rPr>
                <w:rFonts w:hint="eastAsia" w:ascii="仿宋_GB2312" w:hAnsi="仿宋_GB2312" w:eastAsia="仿宋_GB2312" w:cs="仿宋_GB2312"/>
                <w:kern w:val="0"/>
                <w:sz w:val="20"/>
                <w:szCs w:val="20"/>
              </w:rPr>
              <w:t>。</w:t>
            </w:r>
            <w:r>
              <w:rPr>
                <w:rFonts w:hint="eastAsia" w:ascii="仿宋_GB2312" w:hAnsi="仿宋_GB2312" w:eastAsia="仿宋_GB2312" w:cs="仿宋_GB2312"/>
                <w:kern w:val="0"/>
                <w:sz w:val="20"/>
                <w:szCs w:val="20"/>
                <w:lang w:val="en-US" w:eastAsia="zh-CN" w:bidi="ar-SA"/>
              </w:rPr>
              <w:t>评审委员会根据上述</w:t>
            </w:r>
            <w:r>
              <w:rPr>
                <w:rFonts w:hint="eastAsia" w:ascii="仿宋_GB2312" w:hAnsi="仿宋_GB2312" w:eastAsia="仿宋_GB2312" w:cs="仿宋_GB2312"/>
                <w:sz w:val="20"/>
                <w:szCs w:val="20"/>
              </w:rPr>
              <w:t>6项</w:t>
            </w:r>
            <w:r>
              <w:rPr>
                <w:rFonts w:hint="eastAsia" w:ascii="仿宋_GB2312" w:hAnsi="仿宋_GB2312" w:eastAsia="仿宋_GB2312" w:cs="仿宋_GB2312"/>
                <w:kern w:val="0"/>
                <w:sz w:val="20"/>
                <w:szCs w:val="20"/>
                <w:lang w:val="en-US" w:eastAsia="zh-CN" w:bidi="ar-SA"/>
              </w:rPr>
              <w:t>要求对投标</w:t>
            </w:r>
            <w:r>
              <w:rPr>
                <w:rFonts w:hint="eastAsia" w:ascii="仿宋_GB2312" w:hAnsi="仿宋_GB2312" w:eastAsia="仿宋_GB2312" w:cs="仿宋_GB2312"/>
                <w:kern w:val="0"/>
                <w:sz w:val="20"/>
                <w:szCs w:val="20"/>
                <w:highlight w:val="none"/>
                <w:lang w:val="en-US" w:eastAsia="zh-CN" w:bidi="ar-SA"/>
              </w:rPr>
              <w:t>文件响应情况</w:t>
            </w:r>
            <w:r>
              <w:rPr>
                <w:rFonts w:hint="eastAsia" w:ascii="仿宋_GB2312" w:hAnsi="仿宋_GB2312" w:eastAsia="仿宋_GB2312" w:cs="仿宋_GB2312"/>
                <w:kern w:val="0"/>
                <w:sz w:val="20"/>
                <w:szCs w:val="20"/>
                <w:highlight w:val="none"/>
              </w:rPr>
              <w:t>进行打分。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（1）满足3项及以下得3分；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（2）满足4项得4分；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（3）满足5项得5分；</w:t>
            </w:r>
          </w:p>
          <w:p>
            <w:pPr>
              <w:jc w:val="both"/>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（4）满足6项得6分；</w:t>
            </w:r>
          </w:p>
          <w:p>
            <w:pPr>
              <w:jc w:val="both"/>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SA"/>
              </w:rPr>
              <w:t>在此基础上：</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（1）对本项目的</w:t>
            </w:r>
            <w:r>
              <w:rPr>
                <w:rFonts w:hint="eastAsia" w:ascii="仿宋_GB2312" w:hAnsi="仿宋_GB2312" w:eastAsia="仿宋_GB2312" w:cs="仿宋_GB2312"/>
                <w:sz w:val="20"/>
                <w:szCs w:val="20"/>
              </w:rPr>
              <w:t>项目重点难点分析、应对措施及相关的合理化建议</w:t>
            </w:r>
            <w:r>
              <w:rPr>
                <w:rFonts w:hint="eastAsia" w:ascii="仿宋_GB2312" w:hAnsi="仿宋_GB2312" w:eastAsia="仿宋_GB2312" w:cs="仿宋_GB2312"/>
                <w:kern w:val="0"/>
                <w:sz w:val="20"/>
                <w:szCs w:val="20"/>
                <w:lang w:val="en-US" w:eastAsia="zh-CN" w:bidi="ar-SA"/>
              </w:rPr>
              <w:t>，表述清晰，结构完整，经评估能切实有效的保障系统正常运行的评价为优，加4分；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（2）对本项目的</w:t>
            </w:r>
            <w:r>
              <w:rPr>
                <w:rFonts w:hint="eastAsia" w:ascii="仿宋_GB2312" w:hAnsi="仿宋_GB2312" w:eastAsia="仿宋_GB2312" w:cs="仿宋_GB2312"/>
                <w:sz w:val="20"/>
                <w:szCs w:val="20"/>
              </w:rPr>
              <w:t>项目重点难点分析、应对措施及相关的合理化建议</w:t>
            </w:r>
            <w:r>
              <w:rPr>
                <w:rFonts w:hint="eastAsia" w:ascii="仿宋_GB2312" w:hAnsi="仿宋_GB2312" w:eastAsia="仿宋_GB2312" w:cs="仿宋_GB2312"/>
                <w:kern w:val="0"/>
                <w:sz w:val="20"/>
                <w:szCs w:val="20"/>
                <w:lang w:val="en-US" w:eastAsia="zh-CN" w:bidi="ar-SA"/>
              </w:rPr>
              <w:t>，表述清晰，结构完整，经评估对保障系统正常运行效果一般的评价为良，加3分；</w:t>
            </w:r>
          </w:p>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（3）对本项目的</w:t>
            </w:r>
            <w:r>
              <w:rPr>
                <w:rFonts w:hint="eastAsia" w:ascii="仿宋_GB2312" w:hAnsi="仿宋_GB2312" w:eastAsia="仿宋_GB2312" w:cs="仿宋_GB2312"/>
                <w:sz w:val="20"/>
                <w:szCs w:val="20"/>
              </w:rPr>
              <w:t>项目重点难点分析、应对措施及相关的合理化建议有方案</w:t>
            </w:r>
            <w:r>
              <w:rPr>
                <w:rFonts w:hint="eastAsia" w:ascii="仿宋_GB2312" w:hAnsi="仿宋_GB2312" w:eastAsia="仿宋_GB2312" w:cs="仿宋_GB2312"/>
                <w:kern w:val="0"/>
                <w:sz w:val="20"/>
                <w:szCs w:val="20"/>
                <w:lang w:val="en-US" w:eastAsia="zh-CN" w:bidi="ar-SA"/>
              </w:rPr>
              <w:t>，但表述不清晰或结构不完整，评价为中，加2分；</w:t>
            </w:r>
          </w:p>
          <w:p>
            <w:pPr>
              <w:bidi w:val="0"/>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（4）对本项目的</w:t>
            </w:r>
            <w:r>
              <w:rPr>
                <w:rFonts w:hint="eastAsia" w:ascii="仿宋_GB2312" w:hAnsi="仿宋_GB2312" w:eastAsia="仿宋_GB2312" w:cs="仿宋_GB2312"/>
                <w:sz w:val="20"/>
                <w:szCs w:val="20"/>
              </w:rPr>
              <w:t>项目重点难点分析、应对措施及相关的合理化建议无方案</w:t>
            </w:r>
            <w:r>
              <w:rPr>
                <w:rFonts w:hint="eastAsia" w:ascii="仿宋_GB2312" w:hAnsi="仿宋_GB2312" w:eastAsia="仿宋_GB2312" w:cs="仿宋_GB2312"/>
                <w:kern w:val="0"/>
                <w:sz w:val="20"/>
                <w:szCs w:val="20"/>
                <w:lang w:val="en-US" w:eastAsia="zh-CN" w:bidi="ar-SA"/>
              </w:rPr>
              <w:t>的，评价为差，不加分。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质量（完成时间、安全、环保）保障措施及方案</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评</w:t>
            </w:r>
            <w:r>
              <w:rPr>
                <w:rFonts w:hint="eastAsia" w:ascii="仿宋_GB2312" w:hAnsi="仿宋_GB2312" w:eastAsia="仿宋_GB2312" w:cs="仿宋_GB2312"/>
                <w:kern w:val="0"/>
                <w:sz w:val="20"/>
                <w:szCs w:val="20"/>
                <w:lang w:val="en-US" w:eastAsia="zh-CN" w:bidi="ar-SA"/>
              </w:rPr>
              <w:t>审内容：1、组织架构和人员结构完整；2、配套技术支持力量合理；3、业务模式和业务流程说明完善；4、日常管理工作清晰；5、相关管理制度完备；6、风险评估及应急预案齐全。评审委员会根据上述6项要求对投标文件响应情况进行打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（1）满足3项及以下得3分；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（2）满足4项得4分；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（3）满足5项得5分；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（4）满足6项得6分；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在此基础上：</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（1）上述6项评审内容表述清晰、设计合理，与招标项目需求契合度高，能明显提升工作效率和减少建设、运维风险的评价为优，加4分；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（2）上述6项评审内容表述清晰、设计合理，与招标项目需求契合度高，但在提升工作效率和减少建设、运维风险方面不明显的评价为良，加3分；</w:t>
            </w:r>
          </w:p>
          <w:p>
            <w:pPr>
              <w:jc w:val="both"/>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（3）上述6项评审内容与招标项目需求契合度一般，但表述清晰、结构完整的评价为中，加2分；</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highlight w:val="none"/>
                <w:lang w:val="en-US" w:eastAsia="zh-CN" w:bidi="ar-SA"/>
              </w:rPr>
              <w:t>（4）上述6项</w:t>
            </w:r>
            <w:r>
              <w:rPr>
                <w:rFonts w:hint="eastAsia" w:ascii="仿宋_GB2312" w:hAnsi="仿宋_GB2312" w:eastAsia="仿宋_GB2312" w:cs="仿宋_GB2312"/>
                <w:kern w:val="0"/>
                <w:sz w:val="20"/>
                <w:szCs w:val="20"/>
                <w:lang w:val="en-US" w:eastAsia="zh-CN" w:bidi="ar-SA"/>
              </w:rPr>
              <w:t>评审内容与招标项目需求契合度差，表述不清晰、结构不完整评价为差，不加分。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项目完成（服务期满）后的服务承诺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widowControl/>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投标人承诺以下全部三项的得5分，否则不得分。</w:t>
            </w:r>
          </w:p>
          <w:p>
            <w:pPr>
              <w:widowControl/>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（1）服务期满后主动离岗； </w:t>
            </w:r>
          </w:p>
          <w:p>
            <w:pPr>
              <w:widowControl/>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（2）与后续服务公司进行交接； </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（3）服务期满，后续服务公司未到位前仍按原合同服务承诺提供服务。</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要求提供承诺（格式自定）作为得分依据，未提供承诺或承诺内容不满足要求不得分。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14"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违约承诺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b/>
                <w:i/>
                <w:sz w:val="20"/>
                <w:szCs w:val="20"/>
                <w:u w:val="single"/>
                <w:lang w:eastAsia="zh-CN"/>
              </w:rPr>
            </w:pPr>
            <w:r>
              <w:rPr>
                <w:rFonts w:hint="eastAsia" w:ascii="仿宋_GB2312" w:hAnsi="仿宋_GB2312" w:eastAsia="仿宋_GB2312" w:cs="仿宋_GB2312"/>
                <w:sz w:val="20"/>
                <w:szCs w:val="20"/>
              </w:rPr>
              <w:t>评审内容</w:t>
            </w:r>
            <w:r>
              <w:rPr>
                <w:rFonts w:hint="eastAsia" w:ascii="仿宋_GB2312" w:hAnsi="仿宋_GB2312" w:eastAsia="仿宋_GB2312" w:cs="仿宋_GB2312"/>
                <w:sz w:val="20"/>
                <w:szCs w:val="20"/>
                <w:lang w:eastAsia="zh-CN"/>
              </w:rPr>
              <w:t>：</w:t>
            </w:r>
          </w:p>
          <w:p>
            <w:pPr>
              <w:widowControl/>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投标人承诺以下全部三项的得5分，否则不得分。</w:t>
            </w:r>
          </w:p>
          <w:p>
            <w:pPr>
              <w:widowControl/>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1.人员严格按照招标文件及投标承诺配置；</w:t>
            </w:r>
          </w:p>
          <w:p>
            <w:pPr>
              <w:widowControl/>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2.服务质量达到招标文件要求；</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3.对未能达到的管理要求承担管理责任。</w:t>
            </w:r>
          </w:p>
          <w:p>
            <w:pPr>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要求提供承诺</w:t>
            </w:r>
            <w:r>
              <w:rPr>
                <w:rFonts w:hint="eastAsia" w:ascii="仿宋_GB2312" w:hAnsi="仿宋_GB2312" w:eastAsia="仿宋_GB2312" w:cs="仿宋_GB2312"/>
                <w:color w:val="000000"/>
                <w:sz w:val="20"/>
                <w:szCs w:val="20"/>
                <w:lang w:eastAsia="zh-CN"/>
              </w:rPr>
              <w:t>函</w:t>
            </w:r>
            <w:r>
              <w:rPr>
                <w:rFonts w:hint="eastAsia" w:ascii="仿宋_GB2312" w:hAnsi="仿宋_GB2312" w:eastAsia="仿宋_GB2312" w:cs="仿宋_GB2312"/>
                <w:color w:val="000000"/>
                <w:sz w:val="20"/>
                <w:szCs w:val="20"/>
              </w:rPr>
              <w:t>（格式自定）作为得分依据，未提供承诺</w:t>
            </w:r>
            <w:r>
              <w:rPr>
                <w:rFonts w:hint="eastAsia" w:ascii="仿宋_GB2312" w:hAnsi="仿宋_GB2312" w:eastAsia="仿宋_GB2312" w:cs="仿宋_GB2312"/>
                <w:color w:val="000000"/>
                <w:sz w:val="20"/>
                <w:szCs w:val="20"/>
                <w:lang w:eastAsia="zh-CN"/>
              </w:rPr>
              <w:t>函</w:t>
            </w:r>
            <w:r>
              <w:rPr>
                <w:rFonts w:hint="eastAsia" w:ascii="仿宋_GB2312" w:hAnsi="仿宋_GB2312" w:eastAsia="仿宋_GB2312" w:cs="仿宋_GB2312"/>
                <w:color w:val="000000"/>
                <w:sz w:val="20"/>
                <w:szCs w:val="20"/>
              </w:rPr>
              <w:t>或承</w:t>
            </w:r>
            <w:r>
              <w:rPr>
                <w:rFonts w:hint="eastAsia" w:ascii="仿宋_GB2312" w:hAnsi="仿宋_GB2312" w:eastAsia="仿宋_GB2312" w:cs="仿宋_GB2312"/>
                <w:sz w:val="20"/>
                <w:szCs w:val="20"/>
              </w:rPr>
              <w:t>诺内容不满足要求不得分。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2"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宋体"/>
                <w:sz w:val="22"/>
                <w:szCs w:val="22"/>
                <w:lang w:bidi="ar-SA"/>
              </w:rPr>
            </w:pPr>
            <w:r>
              <w:rPr>
                <w:rFonts w:hint="eastAsia" w:ascii="宋体"/>
                <w:szCs w:val="21"/>
              </w:rPr>
              <w:t>3</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hint="eastAsia" w:ascii="宋体"/>
                <w:b/>
                <w:szCs w:val="21"/>
              </w:rPr>
              <w:t>综合实力</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ascii="宋体"/>
                <w:b/>
                <w:szCs w:val="21"/>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52" w:type="dxa"/>
            <w:vMerge w:val="restart"/>
            <w:tcBorders>
              <w:top w:val="single" w:color="000000" w:sz="4" w:space="0"/>
              <w:left w:val="single" w:color="000000" w:sz="4" w:space="0"/>
              <w:bottom w:val="single" w:color="000000" w:sz="4" w:space="0"/>
              <w:right w:val="single" w:color="auto" w:sz="4" w:space="0"/>
              <w:tl2br w:val="nil"/>
              <w:tr2bl w:val="nil"/>
            </w:tcBorders>
            <w:noWrap/>
          </w:tcPr>
          <w:p>
            <w:pPr>
              <w:jc w:val="center"/>
              <w:rPr>
                <w:rFonts w:hint="eastAsia" w:ascii="宋体" w:cs="新宋体"/>
                <w:b/>
                <w:sz w:val="22"/>
                <w:szCs w:val="22"/>
                <w:lang w:bidi="ar-SA"/>
              </w:rPr>
            </w:pPr>
          </w:p>
        </w:tc>
        <w:tc>
          <w:tcPr>
            <w:tcW w:w="779" w:type="dxa"/>
            <w:gridSpan w:val="2"/>
            <w:tcBorders>
              <w:top w:val="single" w:color="000000" w:sz="4" w:space="0"/>
              <w:left w:val="single" w:color="auto" w:sz="4" w:space="0"/>
              <w:bottom w:val="single" w:color="000000" w:sz="4" w:space="0"/>
              <w:right w:val="single" w:color="000000" w:sz="4" w:space="0"/>
              <w:tl2br w:val="nil"/>
              <w:tr2bl w:val="nil"/>
            </w:tcBorders>
            <w:noWrap/>
          </w:tcPr>
          <w:p>
            <w:pPr>
              <w:jc w:val="center"/>
              <w:rPr>
                <w:rFonts w:hint="eastAsia" w:ascii="宋体" w:cs="新宋体"/>
                <w:b/>
                <w:kern w:val="0"/>
                <w:sz w:val="22"/>
                <w:szCs w:val="22"/>
                <w:lang w:bidi="ar-SA"/>
              </w:rPr>
            </w:pPr>
            <w:r>
              <w:rPr>
                <w:rFonts w:hint="eastAsia" w:ascii="宋体"/>
                <w:b/>
                <w:szCs w:val="21"/>
              </w:rPr>
              <w:t>序号</w:t>
            </w:r>
          </w:p>
        </w:tc>
        <w:tc>
          <w:tcPr>
            <w:tcW w:w="1256" w:type="dxa"/>
            <w:tcBorders>
              <w:top w:val="single" w:color="000000" w:sz="4" w:space="0"/>
              <w:left w:val="single" w:color="auto" w:sz="4" w:space="0"/>
              <w:bottom w:val="single" w:color="000000" w:sz="4" w:space="0"/>
              <w:right w:val="single" w:color="000000" w:sz="4" w:space="0"/>
              <w:tl2br w:val="nil"/>
              <w:tr2bl w:val="nil"/>
            </w:tcBorders>
            <w:noWrap/>
          </w:tcPr>
          <w:p>
            <w:pPr>
              <w:jc w:val="center"/>
            </w:pPr>
            <w:r>
              <w:rPr>
                <w:rFonts w:hint="eastAsia" w:ascii="宋体"/>
                <w:b/>
                <w:szCs w:val="21"/>
              </w:rPr>
              <w:t>内容</w:t>
            </w:r>
          </w:p>
        </w:tc>
        <w:tc>
          <w:tcPr>
            <w:tcW w:w="679" w:type="dxa"/>
            <w:tcBorders>
              <w:top w:val="single" w:color="000000" w:sz="4" w:space="0"/>
              <w:left w:val="single" w:color="auto" w:sz="4" w:space="0"/>
              <w:bottom w:val="single" w:color="000000" w:sz="4" w:space="0"/>
              <w:right w:val="single" w:color="000000" w:sz="4" w:space="0"/>
              <w:tl2br w:val="nil"/>
              <w:tr2bl w:val="nil"/>
            </w:tcBorders>
            <w:noWrap/>
          </w:tcPr>
          <w:p>
            <w:pPr>
              <w:jc w:val="center"/>
            </w:pPr>
            <w:r>
              <w:rPr>
                <w:rFonts w:hint="eastAsia" w:ascii="宋体"/>
                <w:b/>
                <w:szCs w:val="21"/>
              </w:rPr>
              <w:t>权重</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新宋体"/>
                <w:b/>
                <w:sz w:val="22"/>
                <w:szCs w:val="22"/>
                <w:lang w:bidi="ar-SA"/>
              </w:rPr>
            </w:pPr>
            <w:r>
              <w:rPr>
                <w:rFonts w:hint="eastAsia" w:ascii="宋体"/>
                <w:b/>
                <w:szCs w:val="21"/>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通过相关认证情况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（1）具备ISO9001质量体系认证证书得1分；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（2）具备信息安全服务资质认证证书得2分。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（1）要求提供有效的认证证书作为得分依据。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（2）以上资料均要求提供扫描件，原件备查。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同类项目业绩情况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每出具一个近三年</w:t>
            </w:r>
            <w:r>
              <w:rPr>
                <w:rFonts w:hint="eastAsia" w:ascii="仿宋_GB2312" w:hAnsi="仿宋_GB2312" w:eastAsia="仿宋_GB2312" w:cs="仿宋_GB2312"/>
                <w:color w:val="000000"/>
                <w:sz w:val="20"/>
                <w:szCs w:val="20"/>
                <w:lang w:val="en-US" w:eastAsia="zh-CN"/>
              </w:rPr>
              <w:t>内</w:t>
            </w:r>
            <w:r>
              <w:rPr>
                <w:rFonts w:hint="eastAsia" w:ascii="仿宋_GB2312" w:hAnsi="仿宋_GB2312" w:eastAsia="仿宋_GB2312" w:cs="仿宋_GB2312"/>
                <w:color w:val="000000"/>
                <w:sz w:val="20"/>
                <w:szCs w:val="20"/>
              </w:rPr>
              <w:t>以合同时间为准，截止日为本项目公告发布之日）系统服务类项目业绩得1分，最多得5分。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（1）要求同时提供合同关键信息证明文件作为得分依据。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（2）通过合同关键信息无法判断是否得分的，也可以提供能证明得分的其它证明资料，如项目报告或合同甲方出具的证明文件等。</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（3）以上资料均要求提供扫描件，原件备查。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拟安排的项目负责人情况（仅限一人）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（1）具有计算机类或理工类专业硕士研究生（或以上）学位或者副高级（或以上）职称（两者具备其一即可）的得3分；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（2）系统服务类项目负责人工作经验的得3分；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lang w:val="en-US" w:eastAsia="zh-CN"/>
              </w:rPr>
              <w:t>以上2项累计得分，最高不超过6分。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供上述人员在投标人本单位购买的近三个月养老保险资料（官网截图或窗口打印资料或社保部门出具的证明资料均可，补缴社保不算）和学位证、资质（资格）证书及工作经验证明资料（工作经验证明资料可以是合同关键信息，也可以是合同采购方出具的证明文件等能证明得分的其它证明资料）作为得分依据（所有资料均要求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7"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拟安排的项目主要团队成员（主要技术人员）情况（项目负责人除外）</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12</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（1）具有计算机或理工类本科或以上学历的，1分/人，最多5分。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（2）系统服务类项目的工作经验，1分/人，最高7分。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3）</w:t>
            </w:r>
            <w:r>
              <w:rPr>
                <w:rFonts w:hint="eastAsia" w:ascii="仿宋_GB2312" w:hAnsi="仿宋_GB2312" w:eastAsia="仿宋_GB2312" w:cs="仿宋_GB2312"/>
                <w:color w:val="000000"/>
                <w:sz w:val="20"/>
                <w:szCs w:val="20"/>
                <w:lang w:val="en-US" w:eastAsia="zh-CN"/>
              </w:rPr>
              <w:t>以上2项累计得分，最高不超过12分。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要求提供以上人员列表、近三个月在投标单位购买的养老保险证明（补缴无效，社保部门资料或网页资料或窗口打印资料均可，未提供的人员不予计分）和职称、学历等相关证书及工作经验证明资料（工作经验证明资料可以是合同关键信息，也可以是合同采购方出具的证明文件等能证明得分的其它证明资料）作为得分依据（所有资料均要求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8"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获奖情况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投标人提供近三年政府主管部门</w:t>
            </w:r>
            <w:r>
              <w:rPr>
                <w:rFonts w:hint="eastAsia" w:ascii="仿宋_GB2312" w:hAnsi="仿宋_GB2312" w:eastAsia="仿宋_GB2312" w:cs="仿宋_GB2312"/>
                <w:color w:val="000000"/>
                <w:sz w:val="20"/>
                <w:szCs w:val="20"/>
                <w:lang w:val="en-US" w:eastAsia="zh-CN"/>
              </w:rPr>
              <w:t>颁发的信息系统服务类的获奖证书</w:t>
            </w:r>
            <w:r>
              <w:rPr>
                <w:rFonts w:hint="eastAsia" w:ascii="仿宋_GB2312" w:hAnsi="仿宋_GB2312" w:eastAsia="仿宋_GB2312" w:cs="仿宋_GB2312"/>
                <w:color w:val="000000"/>
                <w:sz w:val="20"/>
                <w:szCs w:val="20"/>
              </w:rPr>
              <w:t>（提供有效的证书扫描件并加盖公章)情况：</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（1）投标单位获得省级</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副省级</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相关荣誉奖项的，得5分。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（2）投标单位获得市级相关荣誉奖项的，得3分。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（3）投标单位获得区级相关荣誉奖项的，得2分。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（4）投标人未承获得过相关荣誉奖项的，不得分。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证明文件：投标人须提供所获得荣誉奖项的复印件加盖投标人公章。</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注：以上荣誉奖项得分不累计加分。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8"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投标人自主知识产权产品（创新、设计）情况</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（一）评分内容：</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根据投标人提供的自主知识产权的</w:t>
            </w:r>
            <w:r>
              <w:rPr>
                <w:rFonts w:hint="eastAsia" w:ascii="仿宋_GB2312" w:hAnsi="仿宋_GB2312" w:eastAsia="仿宋_GB2312" w:cs="仿宋_GB2312"/>
                <w:color w:val="000000"/>
                <w:sz w:val="20"/>
                <w:szCs w:val="20"/>
                <w:lang w:val="en-US" w:eastAsia="zh-CN"/>
              </w:rPr>
              <w:t>信息系统服务类软</w:t>
            </w:r>
            <w:r>
              <w:rPr>
                <w:rFonts w:hint="eastAsia" w:ascii="仿宋_GB2312" w:hAnsi="仿宋_GB2312" w:eastAsia="仿宋_GB2312" w:cs="仿宋_GB2312"/>
                <w:color w:val="000000"/>
                <w:sz w:val="20"/>
                <w:szCs w:val="20"/>
              </w:rPr>
              <w:t>件系统情况评分，每提供1个得1分，本项最多得6分。</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（二）评分依据：</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（1）要求提供有效的产权（专利）证书等证明材料作为得分依据，具有《计算机软件著作权登记证书》或《软件产品登记证书》或《软件产品证明函》或《软件产品证书》或《产权（专利）证书》，同一</w:t>
            </w:r>
            <w:r>
              <w:rPr>
                <w:rFonts w:hint="eastAsia" w:ascii="仿宋_GB2312" w:hAnsi="仿宋_GB2312" w:eastAsia="仿宋_GB2312" w:cs="仿宋_GB2312"/>
                <w:color w:val="000000"/>
                <w:sz w:val="20"/>
                <w:szCs w:val="20"/>
                <w:lang w:val="en-US" w:eastAsia="zh-CN"/>
              </w:rPr>
              <w:t>软</w:t>
            </w:r>
            <w:r>
              <w:rPr>
                <w:rFonts w:hint="eastAsia" w:ascii="仿宋_GB2312" w:hAnsi="仿宋_GB2312" w:eastAsia="仿宋_GB2312" w:cs="仿宋_GB2312"/>
                <w:color w:val="000000"/>
                <w:sz w:val="20"/>
                <w:szCs w:val="20"/>
              </w:rPr>
              <w:t>件系统拥有多个证书按1个计算。</w:t>
            </w:r>
          </w:p>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（2）以上资料均要求提供扫描件，原件备查。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7</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服务网点</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深圳供应商，或非深圳供应商但在深圳有合法注册的分公司（或售后机构）（分公司的必须提供分公司营业执照扫描件，售后机构必须同时提供售后服务合作合同及售后机构营业执照扫描件作为得分依据，原件备查）的，得3分</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外地供应商承诺中标后在深圳设立本地经营（服务）网点承诺，（提供设立本地经营（服务）网点的承诺（格式自拟）以及营业执照扫描件，原件备查）的，得3分；</w:t>
            </w:r>
            <w:r>
              <w:rPr>
                <w:rFonts w:hint="eastAsia" w:ascii="仿宋_GB2312" w:hAnsi="仿宋_GB2312" w:eastAsia="仿宋_GB2312" w:cs="仿宋_GB2312"/>
                <w:color w:val="000000"/>
                <w:sz w:val="20"/>
                <w:szCs w:val="20"/>
              </w:rPr>
              <w:t>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8" w:hRule="atLeast"/>
        </w:trPr>
        <w:tc>
          <w:tcPr>
            <w:tcW w:w="352"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cs="新宋体"/>
                <w:sz w:val="22"/>
                <w:szCs w:val="22"/>
                <w:lang w:bidi="ar-SA"/>
              </w:rPr>
            </w:pPr>
            <w:r>
              <w:rPr>
                <w:rFonts w:hint="eastAsia" w:ascii="宋体"/>
                <w:szCs w:val="21"/>
              </w:rPr>
              <w:t>4</w:t>
            </w:r>
          </w:p>
        </w:tc>
        <w:tc>
          <w:tcPr>
            <w:tcW w:w="2714" w:type="dxa"/>
            <w:gridSpan w:val="4"/>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hint="eastAsia" w:ascii="宋体"/>
                <w:b/>
                <w:szCs w:val="21"/>
              </w:rPr>
              <w:t>诚信情况</w:t>
            </w:r>
          </w:p>
        </w:tc>
        <w:tc>
          <w:tcPr>
            <w:tcW w:w="5943" w:type="dxa"/>
            <w:tcBorders>
              <w:top w:val="single" w:color="000000" w:sz="4" w:space="0"/>
              <w:left w:val="single" w:color="000000" w:sz="4" w:space="0"/>
              <w:bottom w:val="single" w:color="000000" w:sz="4" w:space="0"/>
              <w:right w:val="single" w:color="000000" w:sz="4" w:space="0"/>
              <w:tl2br w:val="nil"/>
              <w:tr2bl w:val="nil"/>
            </w:tcBorders>
            <w:noWrap/>
          </w:tcPr>
          <w:p>
            <w:pPr>
              <w:jc w:val="center"/>
              <w:rPr>
                <w:rFonts w:hint="eastAsia" w:ascii="宋体"/>
                <w:sz w:val="22"/>
                <w:szCs w:val="22"/>
              </w:rPr>
            </w:pPr>
            <w:r>
              <w:rPr>
                <w:rFonts w:ascii="宋体"/>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52" w:type="dxa"/>
            <w:vMerge w:val="restart"/>
            <w:tcBorders>
              <w:top w:val="single" w:color="000000" w:sz="4" w:space="0"/>
              <w:left w:val="single" w:color="000000" w:sz="4" w:space="0"/>
              <w:bottom w:val="single" w:color="auto" w:sz="4" w:space="0"/>
              <w:right w:val="single" w:color="000000" w:sz="4" w:space="0"/>
              <w:tl2br w:val="nil"/>
              <w:tr2bl w:val="nil"/>
            </w:tcBorders>
            <w:noWrap/>
          </w:tcPr>
          <w:p>
            <w:pPr>
              <w:jc w:val="center"/>
              <w:rPr>
                <w:rFonts w:hint="eastAsia" w:ascii="宋体" w:cs="新宋体"/>
                <w:sz w:val="22"/>
                <w:szCs w:val="22"/>
                <w:lang w:bidi="ar-SA"/>
              </w:rPr>
            </w:pPr>
          </w:p>
        </w:tc>
        <w:tc>
          <w:tcPr>
            <w:tcW w:w="779" w:type="dxa"/>
            <w:gridSpan w:val="2"/>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rPr>
                <w:rFonts w:hint="eastAsia" w:ascii="宋体" w:cs="新宋体"/>
                <w:kern w:val="0"/>
                <w:sz w:val="22"/>
                <w:szCs w:val="22"/>
                <w:lang w:bidi="ar-SA"/>
              </w:rPr>
            </w:pPr>
            <w:r>
              <w:rPr>
                <w:rFonts w:hint="eastAsia" w:ascii="宋体"/>
                <w:b/>
                <w:szCs w:val="21"/>
              </w:rPr>
              <w:t>序号</w:t>
            </w:r>
          </w:p>
        </w:tc>
        <w:tc>
          <w:tcPr>
            <w:tcW w:w="1256" w:type="dxa"/>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pPr>
            <w:r>
              <w:rPr>
                <w:rFonts w:hint="eastAsia" w:ascii="宋体"/>
                <w:b/>
                <w:szCs w:val="21"/>
              </w:rPr>
              <w:t>评分因素</w:t>
            </w:r>
          </w:p>
        </w:tc>
        <w:tc>
          <w:tcPr>
            <w:tcW w:w="679" w:type="dxa"/>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pPr>
            <w:r>
              <w:rPr>
                <w:rFonts w:hint="eastAsia" w:ascii="宋体"/>
                <w:b/>
                <w:szCs w:val="21"/>
              </w:rPr>
              <w:t>权重</w:t>
            </w:r>
          </w:p>
        </w:tc>
        <w:tc>
          <w:tcPr>
            <w:tcW w:w="5943" w:type="dxa"/>
            <w:tcBorders>
              <w:top w:val="single" w:color="000000" w:sz="4" w:space="0"/>
              <w:left w:val="single" w:color="000000" w:sz="4" w:space="0"/>
              <w:bottom w:val="single" w:color="auto" w:sz="4" w:space="0"/>
              <w:right w:val="single" w:color="000000" w:sz="4" w:space="0"/>
              <w:tl2br w:val="nil"/>
              <w:tr2bl w:val="nil"/>
            </w:tcBorders>
            <w:noWrap/>
            <w:vAlign w:val="center"/>
          </w:tcPr>
          <w:p>
            <w:pPr>
              <w:wordWrap w:val="0"/>
              <w:jc w:val="center"/>
              <w:rPr>
                <w:rFonts w:hint="eastAsia" w:ascii="宋体"/>
                <w:sz w:val="22"/>
                <w:szCs w:val="22"/>
              </w:rPr>
            </w:pPr>
            <w:r>
              <w:rPr>
                <w:rFonts w:hint="eastAsia" w:ascii="宋体"/>
                <w:b/>
                <w:szCs w:val="21"/>
              </w:rPr>
              <w:t>评分准则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52" w:type="dxa"/>
            <w:vMerge w:val="continue"/>
            <w:tcBorders>
              <w:top w:val="single" w:color="000000" w:sz="4" w:space="0"/>
              <w:left w:val="single" w:color="000000" w:sz="4" w:space="0"/>
              <w:bottom w:val="single" w:color="000000" w:sz="4" w:space="0"/>
              <w:right w:val="single" w:color="000000" w:sz="4" w:space="0"/>
              <w:tl2br w:val="nil"/>
              <w:tr2bl w:val="nil"/>
            </w:tcBorders>
            <w:noWrap/>
          </w:tcPr>
          <w:p/>
        </w:tc>
        <w:tc>
          <w:tcPr>
            <w:tcW w:w="779"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p>
        </w:tc>
        <w:tc>
          <w:tcPr>
            <w:tcW w:w="1256"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诚信承诺</w:t>
            </w:r>
          </w:p>
        </w:tc>
        <w:tc>
          <w:tcPr>
            <w:tcW w:w="679"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5943" w:type="dxa"/>
            <w:tcBorders>
              <w:top w:val="single" w:color="000000" w:sz="4" w:space="0"/>
              <w:left w:val="single" w:color="000000" w:sz="4" w:space="0"/>
              <w:bottom w:val="single" w:color="000000" w:sz="4" w:space="0"/>
              <w:right w:val="single" w:color="000000" w:sz="4" w:space="0"/>
              <w:tl2br w:val="nil"/>
              <w:tr2bl w:val="nil"/>
            </w:tcBorders>
            <w:noWrap/>
            <w:vAlign w:val="center"/>
          </w:tcPr>
          <w:p>
            <w:pPr>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投标人在参与政府采购活动中存在诚信相关问题且在主管部门相关处理措施实施期限内的，本项不得分，否则得满分。（提供《诚信承诺函》模板见附件）。</w:t>
            </w:r>
          </w:p>
        </w:tc>
      </w:tr>
    </w:tbl>
    <w:p>
      <w:pPr>
        <w:overflowPunct w:val="0"/>
        <w:autoSpaceDE w:val="0"/>
        <w:autoSpaceDN w:val="0"/>
        <w:spacing w:line="580" w:lineRule="exact"/>
        <w:rPr>
          <w:rFonts w:ascii="仿宋_GB2312" w:eastAsia="仿宋_GB2312"/>
          <w:sz w:val="32"/>
          <w:szCs w:val="32"/>
        </w:rPr>
      </w:pPr>
      <w:bookmarkStart w:id="0" w:name="_GoBack"/>
      <w:bookmarkEnd w:id="0"/>
    </w:p>
    <w:sectPr>
      <w:pgSz w:w="11906" w:h="16838"/>
      <w:pgMar w:top="2098" w:right="1474" w:bottom="1984" w:left="1587" w:header="851" w:footer="992" w:gutter="0"/>
      <w:pgNumType w:fmt="numberInDash"/>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22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jYwZGEzNDBjZjIzZDg5OGUzZjliZjFkYWJhN2FhODEifQ=="/>
  </w:docVars>
  <w:rsids>
    <w:rsidRoot w:val="00000000"/>
    <w:rsid w:val="07800489"/>
    <w:rsid w:val="14C07FAD"/>
    <w:rsid w:val="2419493C"/>
    <w:rsid w:val="30CD1607"/>
    <w:rsid w:val="41E03E25"/>
    <w:rsid w:val="4B97426B"/>
    <w:rsid w:val="50EC3AAC"/>
    <w:rsid w:val="642C0FDF"/>
    <w:rsid w:val="668B1EF4"/>
    <w:rsid w:val="6A530E43"/>
    <w:rsid w:val="6DF06262"/>
    <w:rsid w:val="BEFBCC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kern w:val="0"/>
      <w:sz w:val="24"/>
    </w:rPr>
  </w:style>
  <w:style w:type="paragraph" w:styleId="11">
    <w:name w:val="annotation subject"/>
    <w:basedOn w:val="7"/>
    <w:next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6498</Words>
  <Characters>6631</Characters>
  <Lines>0</Lines>
  <Paragraphs>120</Paragraphs>
  <TotalTime>55</TotalTime>
  <ScaleCrop>false</ScaleCrop>
  <LinksUpToDate>false</LinksUpToDate>
  <CharactersWithSpaces>6738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2021-06-11T19:09:00Z</dcterms:created>
  <dc:creator>lenovo</dc:creator>
  <cp:lastModifiedBy>Darcya</cp:lastModifiedBy>
  <cp:lastPrinted>2021-07-01T20:05:00Z</cp:lastPrinted>
  <dcterms:modified xsi:type="dcterms:W3CDTF">2023-05-06T02:33:25Z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60828C7D713E47CD87BA3A921694B51D_13</vt:lpwstr>
  </property>
  <property fmtid="{D5CDD505-2E9C-101B-9397-08002B2CF9AE}" pid="4" name="commondata">
    <vt:lpwstr>eyJoZGlkIjoiMjg0NGMxZDljZWEyNWNjZDI2MjM0NzhmNjJhNTgzMDcifQ==</vt:lpwstr>
  </property>
</Properties>
</file>