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pacing w:val="10"/>
          <w:sz w:val="32"/>
          <w:szCs w:val="32"/>
        </w:rPr>
      </w:pPr>
      <w:r>
        <w:rPr>
          <w:rFonts w:hint="eastAsia" w:ascii="黑体" w:hAnsi="黑体" w:eastAsia="黑体" w:cs="Times New Roman"/>
          <w:spacing w:val="10"/>
          <w:sz w:val="32"/>
          <w:szCs w:val="32"/>
        </w:rPr>
        <w:t>附件</w:t>
      </w:r>
      <w:r>
        <w:rPr>
          <w:rFonts w:hint="eastAsia" w:ascii="黑体" w:hAnsi="黑体" w:eastAsia="黑体" w:cs="Times New Roman"/>
          <w:spacing w:val="10"/>
          <w:sz w:val="32"/>
          <w:szCs w:val="32"/>
          <w:lang w:val="en-US" w:eastAsia="zh-CN"/>
        </w:rPr>
        <w:t>1</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241" w:firstLineChars="1013"/>
        <w:jc w:val="both"/>
        <w:rPr>
          <w:rFonts w:hint="eastAsia" w:ascii="黑体" w:hAnsi="黑体" w:eastAsia="黑体" w:cs="Times New Roman"/>
          <w:spacing w:val="10"/>
          <w:sz w:val="32"/>
          <w:szCs w:val="32"/>
        </w:rPr>
      </w:pPr>
      <w:r>
        <w:rPr>
          <w:rFonts w:hint="eastAsia" w:ascii="方正小标宋简体" w:hAnsi="方正小标宋简体" w:eastAsia="方正小标宋简体" w:cs="方正小标宋简体"/>
          <w:i w:val="0"/>
          <w:caps w:val="0"/>
          <w:color w:val="000000" w:themeColor="text1"/>
          <w:spacing w:val="0"/>
          <w:kern w:val="2"/>
          <w:sz w:val="32"/>
          <w:szCs w:val="32"/>
          <w:shd w:val="clear" w:color="auto" w:fill="FFFFFF"/>
          <w:lang w:val="en-US" w:eastAsia="zh-CN" w:bidi="ar-SA"/>
          <w14:textFill>
            <w14:solidFill>
              <w14:schemeClr w14:val="tx1"/>
            </w14:solidFill>
          </w14:textFill>
        </w:rPr>
        <w:t>评分细则</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29"/>
        <w:gridCol w:w="634"/>
        <w:gridCol w:w="2273"/>
        <w:gridCol w:w="890"/>
        <w:gridCol w:w="40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69"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228"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评分项</w:t>
            </w:r>
          </w:p>
        </w:tc>
        <w:tc>
          <w:tcPr>
            <w:tcW w:w="240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价格</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left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Times New Roman" w:hAnsi="Times New Roman" w:eastAsia="宋体" w:cs="Times New Roman"/>
              </w:rPr>
            </w:pPr>
          </w:p>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评分细则</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宋体" w:cs="仿宋_GB2312"/>
                <w:b/>
                <w:bCs/>
                <w:sz w:val="32"/>
                <w:szCs w:val="32"/>
                <w:lang w:val="en-US" w:eastAsia="zh-CN"/>
              </w:rPr>
            </w:pPr>
            <w:r>
              <w:rPr>
                <w:rFonts w:hint="eastAsia" w:ascii="仿宋_GB2312" w:hAnsi="宋体" w:eastAsia="仿宋_GB2312"/>
                <w:b w:val="0"/>
                <w:bCs w:val="0"/>
                <w:sz w:val="24"/>
                <w:szCs w:val="24"/>
                <w:lang w:val="en-US" w:eastAsia="zh-CN"/>
              </w:rPr>
              <w:t>满足招标文件要求且投标价格最低的投标报价为评标基准价，其价格分为满分。其他投标人的价格分统一按照下列公式计算：投标报价得分=（评标基准价/投标报价）×30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二</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技术部分</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sz w:val="32"/>
                <w:szCs w:val="32"/>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4630" w:type="pct"/>
            <w:gridSpan w:val="4"/>
            <w:tcBorders>
              <w:top w:val="single" w:color="000000" w:sz="8" w:space="0"/>
              <w:left w:val="single" w:color="000000" w:sz="8" w:space="0"/>
              <w:bottom w:val="single" w:color="000000" w:sz="8" w:space="0"/>
              <w:right w:val="single" w:color="000000" w:sz="8" w:space="0"/>
            </w:tcBorders>
          </w:tcPr>
          <w:p>
            <w:pPr>
              <w:wordWrap w:val="0"/>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0000FF"/>
                <w:sz w:val="32"/>
                <w:szCs w:val="32"/>
              </w:rPr>
            </w:pPr>
          </w:p>
        </w:tc>
        <w:tc>
          <w:tcPr>
            <w:tcW w:w="3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3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52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0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实施方案</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评审内容：</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根据投标人提供的方案进行评审内容包括但不限于以下内容：</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1.能准确把握及分析项目背景和项目需求；</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2.方案提供项目总体设计和实施规划，满足招标人对项目服务内容要求；</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3.对项目方案的背景分析、需求分析、总体设计及实施规划描述清晰、准确。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满足以上三项要求得6分，满足以上任意两项要求得4分，满足以上任意一项得2分，其他情况不得分。在此基础上根据以下要求进行优良中差分档评分：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优良中差评分标准：</w:t>
            </w:r>
          </w:p>
          <w:p>
            <w:pPr>
              <w:numPr>
                <w:ilvl w:val="0"/>
                <w:numId w:val="0"/>
              </w:numPr>
              <w:spacing w:line="360" w:lineRule="auto"/>
              <w:jc w:val="left"/>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lang w:val="en-US" w:eastAsia="zh-CN"/>
              </w:rPr>
              <w:t>①内容科学性、合理性、可操作性强的评价为优</w:t>
            </w:r>
            <w:r>
              <w:rPr>
                <w:rFonts w:hint="eastAsia" w:ascii="仿宋_GB2312" w:hAnsi="宋体" w:eastAsia="仿宋_GB2312"/>
                <w:b w:val="0"/>
                <w:bCs w:val="0"/>
                <w:sz w:val="24"/>
                <w:szCs w:val="24"/>
                <w:highlight w:val="none"/>
                <w:lang w:val="en-US" w:eastAsia="zh-CN"/>
              </w:rPr>
              <w:t>得4分；</w:t>
            </w:r>
          </w:p>
          <w:p>
            <w:pPr>
              <w:numPr>
                <w:ilvl w:val="0"/>
                <w:numId w:val="0"/>
              </w:numPr>
              <w:spacing w:line="360" w:lineRule="auto"/>
              <w:jc w:val="left"/>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②内容科学性、合理性、可操作性比较强的评价为良得3分；</w:t>
            </w:r>
          </w:p>
          <w:p>
            <w:pPr>
              <w:numPr>
                <w:ilvl w:val="0"/>
                <w:numId w:val="0"/>
              </w:numPr>
              <w:spacing w:line="360" w:lineRule="auto"/>
              <w:jc w:val="left"/>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③内容科学性、合理性、可操作性一般的评价为中得2分；</w:t>
            </w:r>
          </w:p>
          <w:p>
            <w:pPr>
              <w:numPr>
                <w:ilvl w:val="0"/>
                <w:numId w:val="0"/>
              </w:numPr>
              <w:spacing w:line="360" w:lineRule="auto"/>
              <w:jc w:val="left"/>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④内容科学性、合理性、可操作性差或未提供的评价为差不得分。</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highlight w:val="none"/>
                <w:lang w:val="en-US" w:eastAsia="zh-CN"/>
              </w:rPr>
              <w:t>本项最高得10分，未按要求提供或提供不清晰导致评审</w:t>
            </w:r>
            <w:r>
              <w:rPr>
                <w:rFonts w:hint="eastAsia" w:ascii="仿宋_GB2312" w:hAnsi="宋体" w:eastAsia="仿宋_GB2312"/>
                <w:b w:val="0"/>
                <w:bCs w:val="0"/>
                <w:sz w:val="24"/>
                <w:szCs w:val="24"/>
                <w:lang w:val="en-US" w:eastAsia="zh-CN"/>
              </w:rPr>
              <w:t>无法判别的不得分。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项目重点难点分析、应对措施及相关的合理化建议</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2402" w:type="pct"/>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（一）评审内容：</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投标人需针对整体项目进行分析，分析本项目在信息化建设中相关的重点难点、应对措施及相关的合理化建议。包括：</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（1）项目服务人员管理重点及应对措施难点分析；</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（2）项目服务内容重点难点及应对措施分析；</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（3）对实现项目整体目标提出的合理化建议。</w:t>
            </w:r>
          </w:p>
          <w:p>
            <w:pPr>
              <w:numPr>
                <w:ilvl w:val="0"/>
                <w:numId w:val="0"/>
              </w:numPr>
              <w:spacing w:line="360" w:lineRule="auto"/>
              <w:jc w:val="both"/>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lang w:val="en-US" w:eastAsia="zh-CN"/>
              </w:rPr>
              <w:t>（二）评分内</w:t>
            </w:r>
            <w:r>
              <w:rPr>
                <w:rFonts w:hint="eastAsia" w:ascii="仿宋_GB2312" w:hAnsi="宋体" w:eastAsia="仿宋_GB2312"/>
                <w:b w:val="0"/>
                <w:bCs w:val="0"/>
                <w:sz w:val="24"/>
                <w:szCs w:val="24"/>
                <w:highlight w:val="none"/>
                <w:lang w:val="en-US" w:eastAsia="zh-CN"/>
              </w:rPr>
              <w:t>容：</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highlight w:val="none"/>
                <w:lang w:val="en-US" w:eastAsia="zh-CN"/>
              </w:rPr>
              <w:t>满足以上三项要求得9分，满足以上任意两项要求得6分，满足以上任意一项得3分，其他情</w:t>
            </w:r>
            <w:r>
              <w:rPr>
                <w:rFonts w:hint="eastAsia" w:ascii="仿宋_GB2312" w:hAnsi="宋体" w:eastAsia="仿宋_GB2312"/>
                <w:b w:val="0"/>
                <w:bCs w:val="0"/>
                <w:sz w:val="24"/>
                <w:szCs w:val="24"/>
                <w:lang w:val="en-US" w:eastAsia="zh-CN"/>
              </w:rPr>
              <w:t>况不得分。在此基础上根据以下要求进行优良中差分档评分：</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优良中差评分标准：</w:t>
            </w:r>
          </w:p>
          <w:p>
            <w:pPr>
              <w:numPr>
                <w:ilvl w:val="0"/>
                <w:numId w:val="0"/>
              </w:numPr>
              <w:spacing w:line="360" w:lineRule="auto"/>
              <w:jc w:val="both"/>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lang w:val="en-US" w:eastAsia="zh-CN"/>
              </w:rPr>
              <w:t>1、评审</w:t>
            </w:r>
            <w:r>
              <w:rPr>
                <w:rFonts w:hint="eastAsia" w:ascii="仿宋_GB2312" w:hAnsi="宋体" w:eastAsia="仿宋_GB2312"/>
                <w:b w:val="0"/>
                <w:bCs w:val="0"/>
                <w:sz w:val="24"/>
                <w:szCs w:val="24"/>
                <w:highlight w:val="none"/>
                <w:lang w:val="en-US" w:eastAsia="zh-CN"/>
              </w:rPr>
              <w:t>为优：项目重点难点分析内容齐全，应对措施及相关的合理化建议清晰合理，加6分。</w:t>
            </w:r>
          </w:p>
          <w:p>
            <w:pPr>
              <w:numPr>
                <w:ilvl w:val="0"/>
                <w:numId w:val="0"/>
              </w:numPr>
              <w:spacing w:line="360" w:lineRule="auto"/>
              <w:jc w:val="both"/>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2、评审为良：项目重点难点分析内容齐全，应对措施及相关的合理化建议较为清晰合理，加4分。</w:t>
            </w:r>
          </w:p>
          <w:p>
            <w:pPr>
              <w:numPr>
                <w:ilvl w:val="0"/>
                <w:numId w:val="0"/>
              </w:numPr>
              <w:spacing w:line="360" w:lineRule="auto"/>
              <w:jc w:val="both"/>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 xml:space="preserve">3、评审为中：项目重点难点分析内容较为齐全，应对措施及相关的合理化建议一般，加2分。 </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highlight w:val="none"/>
                <w:lang w:val="en-US" w:eastAsia="zh-CN"/>
              </w:rPr>
              <w:t>4、评审为差：项</w:t>
            </w:r>
            <w:r>
              <w:rPr>
                <w:rFonts w:hint="eastAsia" w:ascii="仿宋_GB2312" w:hAnsi="宋体" w:eastAsia="仿宋_GB2312"/>
                <w:b w:val="0"/>
                <w:bCs w:val="0"/>
                <w:sz w:val="24"/>
                <w:szCs w:val="24"/>
                <w:lang w:val="en-US" w:eastAsia="zh-CN"/>
              </w:rPr>
              <w:t>目重点难点分析内容一般；应对措施及相关的合理化建议不清晰不合理的，不得分。</w:t>
            </w:r>
          </w:p>
          <w:p>
            <w:pPr>
              <w:numPr>
                <w:ilvl w:val="0"/>
                <w:numId w:val="0"/>
              </w:numPr>
              <w:spacing w:line="360" w:lineRule="auto"/>
              <w:jc w:val="both"/>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本项最高得分15分。如果评审为差，要求专家书面说明理由，并记录在档。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质量（完成时间、安全、环保）保障措施及方案</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p>
        </w:tc>
        <w:tc>
          <w:tcPr>
            <w:tcW w:w="2402" w:type="pct"/>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评审内容：1.保证在七一等节庆时间节点开展5场宣讲活动，2.保证活动前中后的服务质量和响应速度，3.确保物料质量、布场安全、彩排人员和工作人员安全，4.确保活动现场秩序有序，5.现场活动有互动设计环节且现场反应热烈，6.媒体宣传力度。评审委员会根据上述6项要求对投标文件响应情况进行打分。</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（1）满足3项及以下得3分；</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（2）满足4项得4分；</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（3）满足5项得5分；</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（4）满足6项得6分；</w:t>
            </w:r>
          </w:p>
          <w:p>
            <w:pPr>
              <w:numPr>
                <w:ilvl w:val="0"/>
                <w:numId w:val="0"/>
              </w:numPr>
              <w:spacing w:line="360" w:lineRule="auto"/>
              <w:jc w:val="both"/>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highlight w:val="none"/>
                <w:lang w:val="en-US" w:eastAsia="zh-CN"/>
              </w:rPr>
              <w:t>在此基础上：</w:t>
            </w:r>
          </w:p>
          <w:p>
            <w:pPr>
              <w:numPr>
                <w:ilvl w:val="0"/>
                <w:numId w:val="0"/>
              </w:numPr>
              <w:spacing w:line="36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内容科学性、合理性、可操作性强的评价</w:t>
            </w:r>
            <w:r>
              <w:rPr>
                <w:rFonts w:hint="eastAsia" w:ascii="仿宋_GB2312" w:hAnsi="仿宋_GB2312" w:eastAsia="仿宋_GB2312" w:cs="仿宋_GB2312"/>
                <w:color w:val="000000" w:themeColor="text1"/>
                <w:sz w:val="24"/>
                <w:szCs w:val="24"/>
                <w:highlight w:val="none"/>
                <w14:textFill>
                  <w14:solidFill>
                    <w14:schemeClr w14:val="tx1"/>
                  </w14:solidFill>
                </w14:textFill>
              </w:rPr>
              <w:t>为优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，加4分；</w:t>
            </w:r>
          </w:p>
          <w:p>
            <w:pPr>
              <w:numPr>
                <w:ilvl w:val="0"/>
                <w:numId w:val="0"/>
              </w:numPr>
              <w:spacing w:line="360" w:lineRule="auto"/>
              <w:jc w:val="both"/>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内容科学性、合理性、可操作性比较强的评价</w:t>
            </w:r>
            <w:r>
              <w:rPr>
                <w:rFonts w:hint="eastAsia" w:ascii="仿宋_GB2312" w:hAnsi="仿宋_GB2312" w:eastAsia="仿宋_GB2312" w:cs="仿宋_GB2312"/>
                <w:color w:val="000000" w:themeColor="text1"/>
                <w:sz w:val="24"/>
                <w:szCs w:val="24"/>
                <w:highlight w:val="none"/>
                <w14:textFill>
                  <w14:solidFill>
                    <w14:schemeClr w14:val="tx1"/>
                  </w14:solidFill>
                </w14:textFill>
              </w:rPr>
              <w:t>为良</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，加3分；</w:t>
            </w:r>
          </w:p>
          <w:p>
            <w:pPr>
              <w:numPr>
                <w:ilvl w:val="0"/>
                <w:numId w:val="0"/>
              </w:numPr>
              <w:spacing w:line="360" w:lineRule="auto"/>
              <w:jc w:val="both"/>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（3）方案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内容科学性、合理性、可操作性一般的评价</w:t>
            </w:r>
            <w:r>
              <w:rPr>
                <w:rFonts w:hint="eastAsia" w:ascii="仿宋_GB2312" w:hAnsi="仿宋_GB2312" w:eastAsia="仿宋_GB2312" w:cs="仿宋_GB2312"/>
                <w:color w:val="000000" w:themeColor="text1"/>
                <w:sz w:val="24"/>
                <w:szCs w:val="24"/>
                <w:highlight w:val="none"/>
                <w14:textFill>
                  <w14:solidFill>
                    <w14:schemeClr w14:val="tx1"/>
                  </w14:solidFill>
                </w14:textFill>
              </w:rPr>
              <w:t>为中</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，加2分；</w:t>
            </w:r>
          </w:p>
          <w:p>
            <w:pPr>
              <w:numPr>
                <w:ilvl w:val="0"/>
                <w:numId w:val="0"/>
              </w:numPr>
              <w:spacing w:line="360" w:lineRule="auto"/>
              <w:jc w:val="both"/>
              <w:rPr>
                <w:rFonts w:hint="eastAsia" w:ascii="仿宋_GB2312" w:hAnsi="宋体" w:eastAsia="仿宋_GB2312"/>
                <w:b w:val="0"/>
                <w:bCs w:val="0"/>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内容科学性、合理性、可操作性差或未提供的评价</w:t>
            </w:r>
            <w:r>
              <w:rPr>
                <w:rFonts w:hint="eastAsia" w:ascii="仿宋_GB2312" w:hAnsi="仿宋_GB2312" w:eastAsia="仿宋_GB2312" w:cs="仿宋_GB2312"/>
                <w:color w:val="000000" w:themeColor="text1"/>
                <w:sz w:val="24"/>
                <w:szCs w:val="24"/>
                <w:highlight w:val="none"/>
                <w14:textFill>
                  <w14:solidFill>
                    <w14:schemeClr w14:val="tx1"/>
                  </w14:solidFill>
                </w14:textFill>
              </w:rPr>
              <w:t>为差</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宋体" w:eastAsia="仿宋_GB2312"/>
                <w:b w:val="0"/>
                <w:bCs w:val="0"/>
                <w:color w:val="000000" w:themeColor="text1"/>
                <w:sz w:val="24"/>
                <w:szCs w:val="24"/>
                <w:highlight w:val="none"/>
                <w:lang w:val="en-US" w:eastAsia="zh-CN"/>
                <w14:textFill>
                  <w14:solidFill>
                    <w14:schemeClr w14:val="tx1"/>
                  </w14:solidFill>
                </w14:textFill>
              </w:rPr>
              <w:t>不</w:t>
            </w:r>
            <w:r>
              <w:rPr>
                <w:rFonts w:hint="eastAsia" w:ascii="仿宋_GB2312" w:hAnsi="宋体" w:eastAsia="仿宋_GB2312"/>
                <w:b w:val="0"/>
                <w:bCs w:val="0"/>
                <w:sz w:val="24"/>
                <w:szCs w:val="24"/>
                <w:highlight w:val="none"/>
                <w:lang w:val="en-US" w:eastAsia="zh-CN"/>
              </w:rPr>
              <w:t>加分。</w:t>
            </w:r>
          </w:p>
          <w:p>
            <w:pPr>
              <w:numPr>
                <w:ilvl w:val="0"/>
                <w:numId w:val="0"/>
              </w:numPr>
              <w:spacing w:line="360" w:lineRule="auto"/>
              <w:jc w:val="both"/>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highlight w:val="none"/>
                <w:lang w:val="en-US" w:eastAsia="zh-CN"/>
              </w:rPr>
              <w:t>本项最高得分10分，未按要求提供或提供不清晰导致评审不能判别的，不得分。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34"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违约承诺</w:t>
            </w:r>
          </w:p>
        </w:tc>
        <w:tc>
          <w:tcPr>
            <w:tcW w:w="522"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402" w:type="pct"/>
            <w:tcBorders>
              <w:top w:val="single" w:color="auto" w:sz="4" w:space="0"/>
              <w:left w:val="single" w:color="auto" w:sz="4" w:space="0"/>
              <w:bottom w:val="single" w:color="auto" w:sz="4" w:space="0"/>
              <w:right w:val="single" w:color="auto" w:sz="4"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投标人承诺以下全部3项的得5分，否则不得分。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1.人员严格按照招标文件及投标承诺配置；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2.服务质量达到招标文件要求；</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3.对未能达到的管理要求承担管理责任。</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综合实力</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sz w:val="32"/>
                <w:szCs w:val="32"/>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4630" w:type="pct"/>
            <w:gridSpan w:val="4"/>
            <w:tcBorders>
              <w:top w:val="single" w:color="000000" w:sz="8" w:space="0"/>
              <w:left w:val="single" w:color="000000" w:sz="8" w:space="0"/>
              <w:bottom w:val="single" w:color="000000" w:sz="8" w:space="0"/>
              <w:right w:val="single" w:color="000000" w:sz="8" w:space="0"/>
            </w:tcBorders>
          </w:tcPr>
          <w:p>
            <w:pPr>
              <w:wordWrap w:val="0"/>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40" w:hRule="atLeast"/>
          <w:jc w:val="center"/>
        </w:trPr>
        <w:tc>
          <w:tcPr>
            <w:tcW w:w="369"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0000FF"/>
                <w:sz w:val="32"/>
                <w:szCs w:val="32"/>
              </w:rPr>
            </w:pPr>
          </w:p>
        </w:tc>
        <w:tc>
          <w:tcPr>
            <w:tcW w:w="3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3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52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0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15" w:hRule="atLeast"/>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同类项目业绩</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1.评审内容： </w:t>
            </w:r>
          </w:p>
          <w:p>
            <w:pPr>
              <w:numPr>
                <w:ilvl w:val="0"/>
                <w:numId w:val="0"/>
              </w:numPr>
              <w:spacing w:line="360" w:lineRule="auto"/>
              <w:jc w:val="both"/>
              <w:rPr>
                <w:rFonts w:hint="eastAsia" w:ascii="仿宋_GB2312" w:hAnsi="宋体" w:eastAsia="仿宋_GB2312"/>
                <w:b w:val="0"/>
                <w:bCs w:val="0"/>
                <w:sz w:val="24"/>
                <w:szCs w:val="24"/>
                <w:lang w:val="en-US" w:eastAsia="zh-CN"/>
              </w:rPr>
            </w:pPr>
            <w:r>
              <w:rPr>
                <w:rFonts w:hint="eastAsia" w:ascii="仿宋_GB2312" w:hAnsi="宋体" w:eastAsia="仿宋_GB2312"/>
                <w:b w:val="0"/>
                <w:bCs w:val="0"/>
                <w:color w:val="auto"/>
                <w:sz w:val="24"/>
                <w:szCs w:val="24"/>
                <w:highlight w:val="none"/>
                <w:lang w:val="en-US" w:eastAsia="zh-CN"/>
              </w:rPr>
              <w:t>自2020年以来</w:t>
            </w:r>
            <w:r>
              <w:rPr>
                <w:rFonts w:hint="eastAsia" w:ascii="仿宋_GB2312" w:hAnsi="宋体" w:eastAsia="仿宋_GB2312"/>
                <w:b w:val="0"/>
                <w:bCs w:val="0"/>
                <w:sz w:val="24"/>
                <w:szCs w:val="24"/>
                <w:lang w:val="en-US" w:eastAsia="zh-CN"/>
              </w:rPr>
              <w:t>投标人承接过文化宣传策划类、政府活动类、公益活动类相关情况。</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提</w:t>
            </w:r>
            <w:r>
              <w:rPr>
                <w:rFonts w:hint="eastAsia" w:ascii="仿宋_GB2312" w:hAnsi="宋体" w:eastAsia="仿宋_GB2312"/>
                <w:b w:val="0"/>
                <w:bCs w:val="0"/>
                <w:sz w:val="24"/>
                <w:szCs w:val="24"/>
                <w:highlight w:val="none"/>
                <w:lang w:val="en-US" w:eastAsia="zh-CN"/>
              </w:rPr>
              <w:t>供项目过上述相关服务业绩，每1份得2.5分，累计得分不超过5分</w:t>
            </w:r>
            <w:r>
              <w:rPr>
                <w:rFonts w:hint="eastAsia" w:ascii="仿宋_GB2312" w:hAnsi="宋体" w:eastAsia="仿宋_GB2312"/>
                <w:b w:val="0"/>
                <w:bCs w:val="0"/>
                <w:sz w:val="24"/>
                <w:szCs w:val="24"/>
                <w:lang w:val="en-US" w:eastAsia="zh-CN"/>
              </w:rPr>
              <w:t>。</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2.评分依据：须提供相关合同关键页（证明文件中须清晰体现项目签订时间、项目金额、项目内容等）复印件加盖投标人公章。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供应商获奖</w:t>
            </w:r>
            <w:r>
              <w:rPr>
                <w:rFonts w:hint="eastAsia" w:ascii="仿宋_GB2312" w:hAnsi="仿宋_GB2312" w:eastAsia="仿宋_GB2312" w:cs="仿宋_GB2312"/>
                <w:sz w:val="28"/>
                <w:szCs w:val="28"/>
                <w:lang w:val="en-US" w:eastAsia="zh-CN"/>
              </w:rPr>
              <w:t>及履约</w:t>
            </w:r>
            <w:r>
              <w:rPr>
                <w:rFonts w:hint="eastAsia" w:ascii="仿宋_GB2312" w:hAnsi="仿宋_GB2312" w:eastAsia="仿宋_GB2312" w:cs="仿宋_GB2312"/>
                <w:sz w:val="28"/>
                <w:szCs w:val="28"/>
              </w:rPr>
              <w:t>情况</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1.评分内容：</w:t>
            </w:r>
          </w:p>
          <w:p>
            <w:pPr>
              <w:numPr>
                <w:ilvl w:val="0"/>
                <w:numId w:val="0"/>
              </w:numPr>
              <w:shd w:val="clear"/>
              <w:spacing w:line="360" w:lineRule="auto"/>
              <w:jc w:val="left"/>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sz w:val="24"/>
                <w:szCs w:val="24"/>
                <w:lang w:val="en-US" w:eastAsia="zh-CN"/>
              </w:rPr>
              <w:t>1.曾获得区级或以上政府单位颁发活动类策划</w:t>
            </w:r>
            <w:r>
              <w:rPr>
                <w:rFonts w:hint="eastAsia" w:ascii="仿宋_GB2312" w:hAnsi="宋体" w:eastAsia="仿宋_GB2312"/>
                <w:b w:val="0"/>
                <w:bCs w:val="0"/>
                <w:color w:val="auto"/>
                <w:sz w:val="24"/>
                <w:szCs w:val="24"/>
                <w:highlight w:val="none"/>
                <w:lang w:val="en-US" w:eastAsia="zh-CN"/>
              </w:rPr>
              <w:t>或执行奖项；每1个奖项得1分，累计得分不超过2分。</w:t>
            </w:r>
          </w:p>
          <w:p>
            <w:pPr>
              <w:pStyle w:val="2"/>
              <w:shd w:val="clear"/>
              <w:rPr>
                <w:rFonts w:hint="default"/>
                <w:color w:val="auto"/>
                <w:highlight w:val="none"/>
                <w:lang w:val="en-US" w:eastAsia="zh-CN"/>
              </w:rPr>
            </w:pPr>
            <w:r>
              <w:rPr>
                <w:rFonts w:hint="eastAsia" w:ascii="仿宋_GB2312" w:hAnsi="宋体"/>
                <w:b w:val="0"/>
                <w:bCs w:val="0"/>
                <w:color w:val="auto"/>
                <w:sz w:val="24"/>
                <w:szCs w:val="24"/>
                <w:highlight w:val="none"/>
                <w:lang w:val="en-US" w:eastAsia="zh-CN"/>
              </w:rPr>
              <w:t>2.同类项目业绩，获得服务对象“满意”或“优秀”履约评价的，每提供一个得1分，累计得分不超过3分。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2.评分依据：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1.要求提供奖项照片或获奖（荣誉）证书等证明材料作为得分依据。</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2.以上资料均要求提供扫描件（或官方网站截图），原件备查。评分中出现无证明资料或专家无法凭所提供资料判断是否得分的情况，一律作不得分处理</w:t>
            </w:r>
            <w:r>
              <w:rPr>
                <w:rFonts w:hint="eastAsia" w:ascii="仿宋_GB2312" w:hAnsi="仿宋_GB2312" w:eastAsia="仿宋_GB2312" w:cs="仿宋_GB2312"/>
                <w:sz w:val="28"/>
                <w:szCs w:val="2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拟安排的项目负责人情况（仅限一人）</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评分内容：1、学历：取得的本科及以上学历得1分。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2、经验：具有组织、策划社会活动及媒体宣传工作经验得2分。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3、发表、采写过新闻报道、学术论文等经历的得2分；未有过经验的，本项不得分。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评分依据： </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1.要求提供通过投标人缴纳的</w:t>
            </w:r>
            <w:r>
              <w:rPr>
                <w:rFonts w:hint="eastAsia" w:ascii="仿宋_GB2312" w:hAnsi="宋体" w:eastAsia="仿宋_GB2312"/>
                <w:b w:val="0"/>
                <w:bCs w:val="0"/>
                <w:color w:val="auto"/>
                <w:sz w:val="24"/>
                <w:szCs w:val="24"/>
                <w:lang w:val="en-US" w:eastAsia="zh-CN"/>
              </w:rPr>
              <w:t>近三个月（2023年3月至2023年5月）</w:t>
            </w:r>
            <w:r>
              <w:rPr>
                <w:rFonts w:hint="eastAsia" w:ascii="仿宋_GB2312" w:hAnsi="宋体" w:eastAsia="仿宋_GB2312"/>
                <w:b w:val="0"/>
                <w:bCs w:val="0"/>
                <w:sz w:val="24"/>
                <w:szCs w:val="24"/>
                <w:lang w:val="en-US" w:eastAsia="zh-CN"/>
              </w:rPr>
              <w:t>社保证明作为本单位员工的证明依据。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2.要求提供投标人评分内容的相关证明资料作为得分依据。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拟安排的项目主要团队成员（主要技术人员）情况（项目负责人除外）</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10</w:t>
            </w:r>
          </w:p>
        </w:tc>
        <w:tc>
          <w:tcPr>
            <w:tcW w:w="2402" w:type="pct"/>
            <w:tcBorders>
              <w:top w:val="single" w:color="000000" w:sz="8" w:space="0"/>
              <w:left w:val="single" w:color="000000" w:sz="8" w:space="0"/>
              <w:bottom w:val="single" w:color="000000" w:sz="8" w:space="0"/>
              <w:right w:val="single" w:color="000000" w:sz="8" w:space="0"/>
            </w:tcBorders>
            <w:vAlign w:val="top"/>
          </w:tcPr>
          <w:p>
            <w:pPr>
              <w:numPr>
                <w:ilvl w:val="0"/>
                <w:numId w:val="0"/>
              </w:numPr>
              <w:spacing w:line="360" w:lineRule="auto"/>
              <w:jc w:val="left"/>
              <w:rPr>
                <w:rFonts w:hint="eastAsia" w:ascii="仿宋_GB2312" w:hAnsi="宋体" w:eastAsia="仿宋_GB2312"/>
                <w:b w:val="0"/>
                <w:bCs w:val="0"/>
                <w:sz w:val="24"/>
                <w:szCs w:val="24"/>
                <w:highlight w:val="none"/>
                <w:lang w:val="en-US" w:eastAsia="zh-CN"/>
              </w:rPr>
            </w:pPr>
            <w:r>
              <w:rPr>
                <w:rFonts w:hint="eastAsia" w:ascii="仿宋_GB2312" w:hAnsi="宋体" w:eastAsia="仿宋_GB2312"/>
                <w:b w:val="0"/>
                <w:bCs w:val="0"/>
                <w:sz w:val="24"/>
                <w:szCs w:val="24"/>
                <w:lang w:val="en-US" w:eastAsia="zh-CN"/>
              </w:rPr>
              <w:t>评分内容：</w:t>
            </w:r>
            <w:r>
              <w:rPr>
                <w:rFonts w:hint="eastAsia" w:ascii="仿宋_GB2312" w:hAnsi="宋体" w:eastAsia="仿宋_GB2312"/>
                <w:b w:val="0"/>
                <w:bCs w:val="0"/>
                <w:sz w:val="24"/>
                <w:szCs w:val="24"/>
                <w:highlight w:val="none"/>
                <w:lang w:val="en-US" w:eastAsia="zh-CN"/>
              </w:rPr>
              <w:t>1.项目团队成员为5人以上的，得3分；项目团队成员为4-5人的，得2分；项目团队成员为1-3人的，得1分。</w:t>
            </w:r>
          </w:p>
          <w:p>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2.项目团队成员中至少一人参加过政府新闻、公告、文献采写编辑的得2分，没有不得分。</w:t>
            </w:r>
          </w:p>
          <w:p>
            <w:pPr>
              <w:numPr>
                <w:ilvl w:val="0"/>
                <w:numId w:val="0"/>
              </w:numPr>
              <w:spacing w:line="360" w:lineRule="auto"/>
              <w:jc w:val="left"/>
              <w:rPr>
                <w:rFonts w:hint="eastAsia"/>
                <w:color w:val="auto"/>
                <w:highlight w:val="none"/>
                <w:lang w:val="en-US" w:eastAsia="zh-CN"/>
              </w:rPr>
            </w:pPr>
            <w:r>
              <w:rPr>
                <w:rFonts w:hint="eastAsia" w:ascii="仿宋_GB2312" w:hAnsi="宋体" w:eastAsia="仿宋_GB2312"/>
                <w:b w:val="0"/>
                <w:bCs w:val="0"/>
                <w:color w:val="auto"/>
                <w:sz w:val="24"/>
                <w:szCs w:val="24"/>
                <w:highlight w:val="none"/>
                <w:lang w:val="en-US" w:eastAsia="zh-CN"/>
              </w:rPr>
              <w:t>3.项目团队成员均参与过社会活动项目组织策划的得5分；除此之外，至少有1名参与过此类项目的得2分，没有不得分。</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评分依据：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color w:val="auto"/>
                <w:sz w:val="24"/>
                <w:szCs w:val="24"/>
                <w:lang w:val="en-US" w:eastAsia="zh-CN"/>
              </w:rPr>
              <w:t>1.要求提供通过投标人缴纳的近三个月（2023年3月至2023年5月）</w:t>
            </w:r>
            <w:r>
              <w:rPr>
                <w:rFonts w:hint="eastAsia" w:ascii="仿宋_GB2312" w:hAnsi="宋体" w:eastAsia="仿宋_GB2312"/>
                <w:b w:val="0"/>
                <w:bCs w:val="0"/>
                <w:sz w:val="24"/>
                <w:szCs w:val="24"/>
                <w:lang w:val="en-US" w:eastAsia="zh-CN"/>
              </w:rPr>
              <w:t>社保证明作为本单位员工的证明依据。</w:t>
            </w:r>
          </w:p>
          <w:p>
            <w:pPr>
              <w:numPr>
                <w:ilvl w:val="0"/>
                <w:numId w:val="0"/>
              </w:numPr>
              <w:spacing w:line="360" w:lineRule="auto"/>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2.要求提供投标人合同关键页作为得分依据。</w:t>
            </w:r>
          </w:p>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3.以上资料均要求提供扫描件（或官方网站截图），原件备查。评分中出现无证明资料或专家无法凭所提供资料判断是否得分的情况，一律作不得分处理</w:t>
            </w:r>
            <w:r>
              <w:rPr>
                <w:rFonts w:hint="eastAsia" w:ascii="仿宋_GB2312" w:hAnsi="仿宋_GB2312" w:eastAsia="仿宋_GB2312" w:cs="仿宋_GB2312"/>
                <w:sz w:val="28"/>
                <w:szCs w:val="2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w:t>
            </w:r>
          </w:p>
        </w:tc>
        <w:tc>
          <w:tcPr>
            <w:tcW w:w="2228" w:type="pct"/>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诚信情况</w:t>
            </w:r>
          </w:p>
        </w:tc>
        <w:tc>
          <w:tcPr>
            <w:tcW w:w="2402" w:type="pct"/>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仿宋_GB2312" w:hAnsi="仿宋_GB2312" w:eastAsia="仿宋_GB2312" w:cs="仿宋_GB2312"/>
                <w:b/>
                <w:bCs/>
                <w:color w:val="0000FF"/>
                <w:sz w:val="32"/>
                <w:szCs w:val="32"/>
              </w:rPr>
            </w:pPr>
          </w:p>
        </w:tc>
        <w:tc>
          <w:tcPr>
            <w:tcW w:w="37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3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52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0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69" w:type="pct"/>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b/>
                <w:bCs/>
                <w:color w:val="0000FF"/>
                <w:sz w:val="32"/>
                <w:szCs w:val="32"/>
              </w:rPr>
            </w:pPr>
          </w:p>
        </w:tc>
        <w:tc>
          <w:tcPr>
            <w:tcW w:w="37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34" w:type="pct"/>
            <w:tcBorders>
              <w:top w:val="single" w:color="000000" w:sz="8" w:space="0"/>
              <w:left w:val="single" w:color="000000" w:sz="8" w:space="0"/>
              <w:bottom w:val="single" w:color="000000" w:sz="8" w:space="0"/>
              <w:right w:val="single" w:color="000000" w:sz="8" w:space="0"/>
            </w:tcBorders>
            <w:vAlign w:val="center"/>
          </w:tcPr>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诚信情况</w:t>
            </w:r>
          </w:p>
        </w:tc>
        <w:tc>
          <w:tcPr>
            <w:tcW w:w="522"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402" w:type="pct"/>
            <w:tcBorders>
              <w:top w:val="single" w:color="000000" w:sz="8" w:space="0"/>
              <w:left w:val="single" w:color="000000" w:sz="8" w:space="0"/>
              <w:bottom w:val="single" w:color="000000" w:sz="8" w:space="0"/>
              <w:right w:val="single" w:color="000000" w:sz="8" w:space="0"/>
            </w:tcBorders>
          </w:tcPr>
          <w:p>
            <w:pPr>
              <w:numPr>
                <w:ilvl w:val="0"/>
                <w:numId w:val="0"/>
              </w:numPr>
              <w:spacing w:line="360" w:lineRule="auto"/>
              <w:jc w:val="left"/>
              <w:rPr>
                <w:rFonts w:hint="eastAsia" w:ascii="仿宋_GB2312" w:hAnsi="仿宋_GB2312" w:eastAsia="仿宋_GB2312" w:cs="仿宋_GB2312"/>
                <w:sz w:val="28"/>
                <w:szCs w:val="28"/>
              </w:rPr>
            </w:pPr>
            <w:r>
              <w:rPr>
                <w:rFonts w:hint="eastAsia" w:ascii="仿宋_GB2312" w:hAnsi="宋体" w:eastAsia="仿宋_GB2312"/>
                <w:b w:val="0"/>
                <w:bCs w:val="0"/>
                <w:sz w:val="24"/>
                <w:szCs w:val="24"/>
                <w:lang w:val="en-US" w:eastAsia="zh-CN"/>
              </w:rPr>
              <w:t>投标人在参与政府采购活动中存在诚信相关问题且在主管部门相关处理措施实施期限内的，本项不得分，否则得满分。（本项由投标单位提供《诚信承诺函》，不提供不得分）</w:t>
            </w:r>
          </w:p>
        </w:tc>
      </w:tr>
    </w:tbl>
    <w:p>
      <w:pP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77773DB2"/>
    <w:rsid w:val="02821A5E"/>
    <w:rsid w:val="03C90B6B"/>
    <w:rsid w:val="043F7BC2"/>
    <w:rsid w:val="07166E48"/>
    <w:rsid w:val="07BA4F21"/>
    <w:rsid w:val="07F001BC"/>
    <w:rsid w:val="099A60E6"/>
    <w:rsid w:val="09B12CBF"/>
    <w:rsid w:val="0A6D510A"/>
    <w:rsid w:val="0BFB4241"/>
    <w:rsid w:val="0D073997"/>
    <w:rsid w:val="0DC36BC8"/>
    <w:rsid w:val="0E4F0F9D"/>
    <w:rsid w:val="0E5F2FE4"/>
    <w:rsid w:val="0F840A47"/>
    <w:rsid w:val="12604DBD"/>
    <w:rsid w:val="12714B19"/>
    <w:rsid w:val="133D0A18"/>
    <w:rsid w:val="13552F2D"/>
    <w:rsid w:val="1A292E7B"/>
    <w:rsid w:val="1AE8533A"/>
    <w:rsid w:val="1E7352C5"/>
    <w:rsid w:val="1F5A2BE2"/>
    <w:rsid w:val="218E5696"/>
    <w:rsid w:val="21E26450"/>
    <w:rsid w:val="229E62F1"/>
    <w:rsid w:val="243C0B7C"/>
    <w:rsid w:val="262245D4"/>
    <w:rsid w:val="272D7E54"/>
    <w:rsid w:val="273612D1"/>
    <w:rsid w:val="2C6127F7"/>
    <w:rsid w:val="2D530C57"/>
    <w:rsid w:val="2D6A6CF3"/>
    <w:rsid w:val="2E055377"/>
    <w:rsid w:val="33AE16C3"/>
    <w:rsid w:val="35C60FDC"/>
    <w:rsid w:val="366F1940"/>
    <w:rsid w:val="369160DD"/>
    <w:rsid w:val="36B55192"/>
    <w:rsid w:val="36CF2214"/>
    <w:rsid w:val="371773B1"/>
    <w:rsid w:val="37B53077"/>
    <w:rsid w:val="39762EB5"/>
    <w:rsid w:val="3E3C4C54"/>
    <w:rsid w:val="3E957241"/>
    <w:rsid w:val="40A92810"/>
    <w:rsid w:val="41E30CDF"/>
    <w:rsid w:val="424F6AFD"/>
    <w:rsid w:val="42772543"/>
    <w:rsid w:val="442872C5"/>
    <w:rsid w:val="44FF5255"/>
    <w:rsid w:val="47863C7A"/>
    <w:rsid w:val="49E031D3"/>
    <w:rsid w:val="4A046D32"/>
    <w:rsid w:val="4B017830"/>
    <w:rsid w:val="4B0D0534"/>
    <w:rsid w:val="4E921FBA"/>
    <w:rsid w:val="4F8C4B0E"/>
    <w:rsid w:val="5455033C"/>
    <w:rsid w:val="56E542AB"/>
    <w:rsid w:val="579200E3"/>
    <w:rsid w:val="57AF69AE"/>
    <w:rsid w:val="59321591"/>
    <w:rsid w:val="5A584374"/>
    <w:rsid w:val="5A783E18"/>
    <w:rsid w:val="5B6F4E81"/>
    <w:rsid w:val="5BD40F51"/>
    <w:rsid w:val="5F867BC1"/>
    <w:rsid w:val="65896749"/>
    <w:rsid w:val="66B84034"/>
    <w:rsid w:val="69274A9A"/>
    <w:rsid w:val="6A01627A"/>
    <w:rsid w:val="6A374042"/>
    <w:rsid w:val="6BE97F42"/>
    <w:rsid w:val="6DF10ECC"/>
    <w:rsid w:val="6EA105AD"/>
    <w:rsid w:val="714C22BF"/>
    <w:rsid w:val="729A5B80"/>
    <w:rsid w:val="7395623F"/>
    <w:rsid w:val="77773DB2"/>
    <w:rsid w:val="789D458E"/>
    <w:rsid w:val="78AF109E"/>
    <w:rsid w:val="7B5B600B"/>
    <w:rsid w:val="7BDC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0"/>
      <w:szCs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4">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5834</Words>
  <Characters>5992</Characters>
  <Lines>0</Lines>
  <Paragraphs>0</Paragraphs>
  <TotalTime>153</TotalTime>
  <ScaleCrop>false</ScaleCrop>
  <LinksUpToDate>false</LinksUpToDate>
  <CharactersWithSpaces>6320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2022-10-10T06:58:00Z</dcterms:created>
  <dc:creator>W-ne</dc:creator>
  <cp:lastModifiedBy>Darcya</cp:lastModifiedBy>
  <cp:lastPrinted>2023-06-19T07:22:00Z</cp:lastPrinted>
  <dcterms:modified xsi:type="dcterms:W3CDTF">2023-06-20T09:32:53Z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6C1C0722B1F74D75982E399B37EF300C_13</vt:lpwstr>
  </property>
</Properties>
</file>