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关于申请列入省级烈士纪念设施保护单位的请示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人民政府：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我区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烈士纪念设施，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</w:rPr>
        <w:t>年建成，占地面积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平方米，设施内安葬有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时期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名烈士，中心广场建有一座高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米，宽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米的纪念碑，四周建有高约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米的砖砌围墙。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年被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市人民政府列为市级保护单位。现由于城市建设和道路改造的需要，我局准备将该陵园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申请列入省级烈士纪念设施保护单位。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妥否，请批示。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退役军人事务局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年  月  日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78" w:beforeAutospacing="0" w:after="0" w:afterAutospacing="0" w:line="580" w:lineRule="exact"/>
        <w:ind w:firstLine="45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B3CA0"/>
    <w:rsid w:val="0D5038BE"/>
    <w:rsid w:val="302168AF"/>
    <w:rsid w:val="65C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2020-06-19T07:56:00Z</dcterms:created>
  <dc:creator>周瑞</dc:creator>
  <cp:lastModifiedBy>Darcya</cp:lastModifiedBy>
  <dcterms:modified xsi:type="dcterms:W3CDTF">2020-09-18T06:21:34Z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