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5A4D">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color w:val="auto"/>
          <w:spacing w:val="10"/>
          <w:w w:val="100"/>
          <w:kern w:val="2"/>
          <w:sz w:val="32"/>
          <w:szCs w:val="24"/>
          <w:highlight w:val="none"/>
          <w:lang w:val="en-US" w:eastAsia="zh-CN" w:bidi="ar-SA"/>
        </w:rPr>
      </w:pPr>
      <w:bookmarkStart w:id="10" w:name="_GoBack"/>
      <w:bookmarkEnd w:id="10"/>
    </w:p>
    <w:p w14:paraId="5AE8B036">
      <w:pPr>
        <w:pStyle w:val="9"/>
        <w:rPr>
          <w:rFonts w:ascii="Times New Roman" w:hAnsi="Times New Roman" w:eastAsia="仿宋_GB2312" w:cs="Times New Roman"/>
          <w:b w:val="0"/>
          <w:i w:val="0"/>
          <w:caps w:val="0"/>
          <w:color w:val="auto"/>
          <w:spacing w:val="10"/>
          <w:w w:val="100"/>
          <w:kern w:val="2"/>
          <w:sz w:val="32"/>
          <w:szCs w:val="24"/>
          <w:highlight w:val="none"/>
          <w:lang w:val="en-US" w:eastAsia="zh-CN" w:bidi="ar-SA"/>
        </w:rPr>
      </w:pPr>
    </w:p>
    <w:p w14:paraId="5F063D44">
      <w:pPr>
        <w:pStyle w:val="9"/>
        <w:rPr>
          <w:rFonts w:ascii="Times New Roman" w:hAnsi="Times New Roman" w:eastAsia="仿宋_GB2312" w:cs="Times New Roman"/>
          <w:b w:val="0"/>
          <w:i w:val="0"/>
          <w:caps w:val="0"/>
          <w:color w:val="auto"/>
          <w:spacing w:val="10"/>
          <w:w w:val="100"/>
          <w:kern w:val="2"/>
          <w:sz w:val="32"/>
          <w:szCs w:val="24"/>
          <w:highlight w:val="none"/>
          <w:lang w:val="en-US" w:eastAsia="zh-CN" w:bidi="ar-SA"/>
        </w:rPr>
      </w:pPr>
    </w:p>
    <w:p w14:paraId="2DDF7257">
      <w:pPr>
        <w:pStyle w:val="9"/>
        <w:rPr>
          <w:rFonts w:ascii="Times New Roman" w:hAnsi="Times New Roman" w:eastAsia="仿宋_GB2312" w:cs="Times New Roman"/>
          <w:b w:val="0"/>
          <w:i w:val="0"/>
          <w:caps w:val="0"/>
          <w:color w:val="auto"/>
          <w:spacing w:val="10"/>
          <w:w w:val="100"/>
          <w:kern w:val="2"/>
          <w:sz w:val="32"/>
          <w:szCs w:val="24"/>
          <w:highlight w:val="none"/>
          <w:lang w:val="en-US" w:eastAsia="zh-CN" w:bidi="ar-SA"/>
        </w:rPr>
      </w:pPr>
    </w:p>
    <w:p w14:paraId="36A57430">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color w:val="auto"/>
          <w:spacing w:val="10"/>
          <w:w w:val="100"/>
          <w:kern w:val="2"/>
          <w:sz w:val="44"/>
          <w:szCs w:val="44"/>
          <w:highlight w:val="none"/>
          <w:lang w:val="en-US" w:eastAsia="zh-CN" w:bidi="ar"/>
        </w:rPr>
      </w:pPr>
      <w:r>
        <w:rPr>
          <w:rFonts w:hint="eastAsia" w:ascii="方正小标宋简体" w:hAnsi="方正小标宋简体" w:eastAsia="方正小标宋简体" w:cs="方正小标宋简体"/>
          <w:b w:val="0"/>
          <w:i w:val="0"/>
          <w:caps w:val="0"/>
          <w:color w:val="auto"/>
          <w:spacing w:val="10"/>
          <w:w w:val="100"/>
          <w:kern w:val="2"/>
          <w:sz w:val="44"/>
          <w:szCs w:val="44"/>
          <w:highlight w:val="none"/>
          <w:lang w:val="en-US" w:eastAsia="zh-CN" w:bidi="ar"/>
        </w:rPr>
        <w:t>【</w:t>
      </w:r>
      <w:r>
        <w:rPr>
          <w:rFonts w:hint="default" w:ascii="方正小标宋简体" w:hAnsi="方正小标宋简体" w:eastAsia="方正小标宋简体" w:cs="方正小标宋简体"/>
          <w:b w:val="0"/>
          <w:i w:val="0"/>
          <w:caps w:val="0"/>
          <w:color w:val="auto"/>
          <w:spacing w:val="10"/>
          <w:w w:val="100"/>
          <w:kern w:val="2"/>
          <w:sz w:val="44"/>
          <w:szCs w:val="44"/>
          <w:highlight w:val="none"/>
          <w:lang w:eastAsia="zh-CN" w:bidi="ar"/>
        </w:rPr>
        <w:t>服务</w:t>
      </w:r>
      <w:r>
        <w:rPr>
          <w:rFonts w:hint="eastAsia" w:ascii="方正小标宋简体" w:hAnsi="方正小标宋简体" w:eastAsia="方正小标宋简体" w:cs="方正小标宋简体"/>
          <w:b w:val="0"/>
          <w:i w:val="0"/>
          <w:caps w:val="0"/>
          <w:color w:val="auto"/>
          <w:spacing w:val="10"/>
          <w:w w:val="100"/>
          <w:kern w:val="2"/>
          <w:sz w:val="44"/>
          <w:szCs w:val="44"/>
          <w:highlight w:val="none"/>
          <w:lang w:val="en-US" w:eastAsia="zh-CN" w:bidi="ar"/>
        </w:rPr>
        <w:t>类】</w:t>
      </w:r>
    </w:p>
    <w:p w14:paraId="7EDE23E3">
      <w:pPr>
        <w:keepLines w:val="0"/>
        <w:widowControl w:val="0"/>
        <w:snapToGrid/>
        <w:spacing w:before="0" w:beforeAutospacing="0" w:after="0" w:afterAutospacing="0" w:line="720" w:lineRule="exact"/>
        <w:ind w:left="0" w:leftChars="0"/>
        <w:jc w:val="center"/>
        <w:textAlignment w:val="baseline"/>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2026年深圳市退役军人事务局网络与官方</w:t>
      </w:r>
    </w:p>
    <w:p w14:paraId="21A5F3E3">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r>
        <w:rPr>
          <w:rFonts w:hint="eastAsia" w:ascii="方正小标宋简体" w:hAnsi="方正小标宋简体" w:eastAsia="方正小标宋简体" w:cs="方正小标宋简体"/>
          <w:color w:val="auto"/>
          <w:kern w:val="0"/>
          <w:sz w:val="44"/>
          <w:szCs w:val="44"/>
          <w:highlight w:val="none"/>
        </w:rPr>
        <w:t>网站综合管理服务项目公开征集</w:t>
      </w:r>
      <w:r>
        <w:rPr>
          <w:rFonts w:ascii="方正小标宋简体" w:hAnsi="Times New Roman" w:eastAsia="方正小标宋简体" w:cs="Times New Roman"/>
          <w:b w:val="0"/>
          <w:i w:val="0"/>
          <w:caps w:val="0"/>
          <w:color w:val="auto"/>
          <w:spacing w:val="10"/>
          <w:w w:val="100"/>
          <w:sz w:val="44"/>
          <w:szCs w:val="44"/>
          <w:highlight w:val="none"/>
        </w:rPr>
        <w:t>文件</w:t>
      </w:r>
    </w:p>
    <w:p w14:paraId="2E72E379">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673AAE1F">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679D5A9C">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5E326DF0">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691159F7">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180E7CC3">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highlight w:val="none"/>
        </w:rPr>
      </w:pPr>
    </w:p>
    <w:p w14:paraId="7F9BFD10">
      <w:pPr>
        <w:pageBreakBefore/>
        <w:jc w:val="center"/>
        <w:rPr>
          <w:rFonts w:hint="eastAsia"/>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r>
        <w:rPr>
          <w:rFonts w:hint="eastAsia" w:ascii="方正小标宋简体" w:hAnsi="方正小标宋简体" w:eastAsia="方正小标宋简体" w:cs="方正小标宋简体"/>
          <w:b w:val="0"/>
          <w:bCs w:val="0"/>
          <w:color w:val="auto"/>
          <w:sz w:val="32"/>
          <w:szCs w:val="32"/>
          <w:highlight w:val="none"/>
        </w:rPr>
        <w:br w:type="page"/>
      </w:r>
    </w:p>
    <w:p w14:paraId="75AFD403">
      <w:pPr>
        <w:pStyle w:val="3"/>
        <w:pageBreakBefore w:val="0"/>
        <w:spacing w:line="576"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第一部分</w:t>
      </w:r>
      <w:r>
        <w:rPr>
          <w:rFonts w:hint="eastAsia" w:ascii="方正小标宋简体" w:hAnsi="方正小标宋简体" w:eastAsia="方正小标宋简体" w:cs="方正小标宋简体"/>
          <w:b w:val="0"/>
          <w:bCs w:val="0"/>
          <w:color w:val="auto"/>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rPr>
        <w:t>公开征集公告</w:t>
      </w:r>
    </w:p>
    <w:p w14:paraId="5022BD60">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参照《深圳经济特区政府采购条例》有关规定，就本项目进行</w:t>
      </w:r>
      <w:r>
        <w:rPr>
          <w:rFonts w:hint="eastAsia" w:ascii="仿宋_GB2312" w:hAnsi="仿宋_GB2312" w:eastAsia="仿宋_GB2312" w:cs="仿宋_GB2312"/>
          <w:color w:val="auto"/>
          <w:kern w:val="0"/>
          <w:sz w:val="32"/>
          <w:szCs w:val="32"/>
          <w:highlight w:val="none"/>
          <w:lang w:eastAsia="zh-CN"/>
        </w:rPr>
        <w:t>公开征集</w:t>
      </w:r>
      <w:r>
        <w:rPr>
          <w:rFonts w:hint="eastAsia" w:ascii="仿宋_GB2312" w:hAnsi="仿宋_GB2312" w:eastAsia="仿宋_GB2312" w:cs="仿宋_GB2312"/>
          <w:color w:val="auto"/>
          <w:kern w:val="0"/>
          <w:sz w:val="32"/>
          <w:szCs w:val="32"/>
          <w:highlight w:val="none"/>
        </w:rPr>
        <w:t>，欢迎符合资格的投标人参加。</w:t>
      </w:r>
    </w:p>
    <w:p w14:paraId="4877F7B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1.项目名称：</w:t>
      </w:r>
      <w:r>
        <w:rPr>
          <w:rFonts w:hint="eastAsia" w:ascii="仿宋_GB2312" w:hAnsi="仿宋_GB2312" w:eastAsia="仿宋_GB2312" w:cs="仿宋_GB2312"/>
          <w:color w:val="auto"/>
          <w:kern w:val="0"/>
          <w:sz w:val="32"/>
          <w:szCs w:val="32"/>
          <w:highlight w:val="none"/>
          <w:u w:val="none"/>
        </w:rPr>
        <w:t>2026年深圳市退役军人事务局网络与官方网站综合管理服务项目</w:t>
      </w:r>
      <w:r>
        <w:rPr>
          <w:rFonts w:hint="eastAsia" w:ascii="仿宋_GB2312" w:hAnsi="仿宋_GB2312" w:eastAsia="仿宋_GB2312" w:cs="仿宋_GB2312"/>
          <w:color w:val="auto"/>
          <w:kern w:val="0"/>
          <w:sz w:val="32"/>
          <w:szCs w:val="32"/>
          <w:highlight w:val="none"/>
          <w:u w:val="none"/>
          <w:lang w:eastAsia="zh-CN"/>
        </w:rPr>
        <w:t>。</w:t>
      </w:r>
    </w:p>
    <w:p w14:paraId="2275AFB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2.采购单位：深圳市退役军人事务局。</w:t>
      </w:r>
    </w:p>
    <w:p w14:paraId="7011B3B2">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3.项目地点：深圳市福田区景田路72号天平大厦。</w:t>
      </w:r>
    </w:p>
    <w:p w14:paraId="2C646F49">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4.预算金额：</w:t>
      </w:r>
      <w:r>
        <w:rPr>
          <w:rFonts w:hint="eastAsia" w:ascii="仿宋_GB2312" w:hAnsi="仿宋_GB2312" w:eastAsia="仿宋_GB2312" w:cs="仿宋_GB2312"/>
          <w:color w:val="auto"/>
          <w:kern w:val="0"/>
          <w:sz w:val="32"/>
          <w:szCs w:val="32"/>
          <w:highlight w:val="none"/>
          <w:lang w:val="en-US" w:eastAsia="zh-CN"/>
        </w:rPr>
        <w:t>50</w:t>
      </w:r>
      <w:r>
        <w:rPr>
          <w:rFonts w:hint="eastAsia" w:ascii="仿宋_GB2312" w:hAnsi="仿宋_GB2312" w:eastAsia="仿宋_GB2312" w:cs="仿宋_GB2312"/>
          <w:color w:val="auto"/>
          <w:kern w:val="0"/>
          <w:sz w:val="32"/>
          <w:szCs w:val="32"/>
          <w:highlight w:val="none"/>
        </w:rPr>
        <w:t>万元。</w:t>
      </w:r>
    </w:p>
    <w:p w14:paraId="1B4DEE8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5.项目内容：详见公开征集文件。</w:t>
      </w:r>
    </w:p>
    <w:p w14:paraId="48430B3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6.服务</w:t>
      </w:r>
      <w:r>
        <w:rPr>
          <w:rFonts w:hint="eastAsia" w:ascii="仿宋_GB2312" w:hAnsi="仿宋_GB2312" w:eastAsia="仿宋_GB2312" w:cs="仿宋_GB2312"/>
          <w:color w:val="auto"/>
          <w:kern w:val="0"/>
          <w:sz w:val="32"/>
          <w:szCs w:val="32"/>
          <w:highlight w:val="none"/>
          <w:lang w:val="en-US" w:eastAsia="zh-CN"/>
        </w:rPr>
        <w:t>时间</w:t>
      </w:r>
      <w:r>
        <w:rPr>
          <w:rFonts w:hint="eastAsia" w:ascii="仿宋_GB2312" w:hAnsi="仿宋_GB2312" w:eastAsia="仿宋_GB2312" w:cs="仿宋_GB2312"/>
          <w:color w:val="auto"/>
          <w:kern w:val="0"/>
          <w:sz w:val="32"/>
          <w:szCs w:val="32"/>
          <w:highlight w:val="none"/>
        </w:rPr>
        <w:t>：</w:t>
      </w:r>
      <w:r>
        <w:rPr>
          <w:rFonts w:hint="default" w:ascii="仿宋_GB2312" w:hAnsi="仿宋_GB2312" w:eastAsia="仿宋_GB2312" w:cs="仿宋_GB2312"/>
          <w:color w:val="auto"/>
          <w:kern w:val="0"/>
          <w:sz w:val="32"/>
          <w:szCs w:val="32"/>
          <w:highlight w:val="none"/>
        </w:rPr>
        <w:t>签订合同之日起一年</w:t>
      </w:r>
      <w:r>
        <w:rPr>
          <w:rFonts w:hint="eastAsia" w:ascii="仿宋_GB2312" w:hAnsi="仿宋_GB2312" w:eastAsia="仿宋_GB2312" w:cs="仿宋_GB2312"/>
          <w:color w:val="auto"/>
          <w:kern w:val="0"/>
          <w:sz w:val="32"/>
          <w:szCs w:val="32"/>
          <w:highlight w:val="none"/>
        </w:rPr>
        <w:t>。本项目为长期服务项目，我单位可根据项目需要和中标供应商的履约情况确定合同期限是否延长，但最长不得超过36个月，合同一年一签。若我单位对中标供应商的履约情况不满意可不再续签。</w:t>
      </w:r>
    </w:p>
    <w:p w14:paraId="01BF94DF">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7.投标人资格要求：</w:t>
      </w:r>
    </w:p>
    <w:p w14:paraId="7BE829E2">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A667B1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（2）投标人信誉良好，且近三年内（即至少从20</w:t>
      </w:r>
      <w:r>
        <w:rPr>
          <w:rFonts w:hint="eastAsia" w:ascii="仿宋_GB2312" w:hAnsi="仿宋_GB2312" w:eastAsia="仿宋_GB2312" w:cs="仿宋_GB2312"/>
          <w:color w:val="auto"/>
          <w:kern w:val="0"/>
          <w:sz w:val="32"/>
          <w:szCs w:val="32"/>
          <w:highlight w:val="none"/>
          <w:lang w:eastAsia="zh-CN"/>
        </w:rPr>
        <w:t>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default"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rPr>
        <w:t>月开始起算，投标人成立不足三年的可从成立之日起算）无重大违法记录（提供《政府采购投标及履约承诺函》）；</w:t>
      </w:r>
    </w:p>
    <w:p w14:paraId="71ABA4C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（3）投标人须未被列入失信被执行人、重大税收违法案件当事人名单、政府采购严重违法失信行为记录名单（提供《政府采购投标及履约承诺函》）；</w:t>
      </w:r>
    </w:p>
    <w:p w14:paraId="2CDE0F77">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（4）投标人参与本项目近三年内（即至少从20</w:t>
      </w:r>
      <w:r>
        <w:rPr>
          <w:rFonts w:hint="eastAsia" w:ascii="仿宋_GB2312" w:hAnsi="仿宋_GB2312" w:eastAsia="仿宋_GB2312" w:cs="仿宋_GB2312"/>
          <w:color w:val="auto"/>
          <w:kern w:val="0"/>
          <w:sz w:val="32"/>
          <w:szCs w:val="32"/>
          <w:highlight w:val="none"/>
          <w:lang w:eastAsia="zh-CN"/>
        </w:rPr>
        <w:t>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default"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rPr>
        <w:t>月开始起算，投标人成立不足三年的可从成立之日起算），我单位、单位法定代表人均无行贿犯罪记录（提供《政府采购投标及履约承诺函》）；</w:t>
      </w:r>
    </w:p>
    <w:p w14:paraId="33787872">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（5）不接受联合体投标，不接受单独分包转包（提供《政府采购投标及履约承诺函》）；</w:t>
      </w:r>
    </w:p>
    <w:p w14:paraId="59B852F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（6）参与本项目政府采购活动时不存在被有关部门禁止参与政府采购活动且在有效期内的情况（提供《政府采购投标及履约承诺函》）；</w:t>
      </w:r>
    </w:p>
    <w:p w14:paraId="3BBC24EC">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（7）投标人不存在</w:t>
      </w:r>
      <w:r>
        <w:rPr>
          <w:rFonts w:hint="eastAsia" w:ascii="仿宋_GB2312" w:hAnsi="仿宋_GB2312" w:eastAsia="仿宋_GB2312" w:cs="仿宋_GB2312"/>
          <w:color w:val="auto"/>
          <w:kern w:val="0"/>
          <w:sz w:val="32"/>
          <w:szCs w:val="32"/>
          <w:highlight w:val="none"/>
          <w:lang w:val="en-US" w:eastAsia="zh-CN"/>
        </w:rPr>
        <w:t>“与其他投标供应商的法定代表人、投标授权代表人、项目负责人（如有）为同一人或在同一单位缴纳社会保险，或存在直接控股、管理关系”</w:t>
      </w:r>
      <w:r>
        <w:rPr>
          <w:rFonts w:hint="eastAsia" w:ascii="仿宋_GB2312" w:hAnsi="仿宋_GB2312" w:eastAsia="仿宋_GB2312" w:cs="仿宋_GB2312"/>
          <w:color w:val="auto"/>
          <w:kern w:val="0"/>
          <w:sz w:val="32"/>
          <w:szCs w:val="32"/>
          <w:highlight w:val="none"/>
        </w:rPr>
        <w:t>（提供《</w:t>
      </w:r>
      <w:r>
        <w:rPr>
          <w:rFonts w:hint="eastAsia" w:ascii="仿宋_GB2312" w:hAnsi="仿宋_GB2312" w:eastAsia="仿宋_GB2312" w:cs="仿宋_GB2312"/>
          <w:color w:val="auto"/>
          <w:kern w:val="0"/>
          <w:sz w:val="32"/>
          <w:szCs w:val="32"/>
          <w:highlight w:val="none"/>
          <w:lang w:val="en-US" w:eastAsia="zh-CN"/>
        </w:rPr>
        <w:t>供应商基本情况表</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p>
    <w:p w14:paraId="5D4F593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获取公开征集文件：</w:t>
      </w:r>
    </w:p>
    <w:p w14:paraId="02F63CE8">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时间：2026年5月28日起至6月3日止（北京时间）；</w:t>
      </w:r>
    </w:p>
    <w:p w14:paraId="2E53146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地点：登录深圳市退役军人事务局官网</w:t>
      </w:r>
    </w:p>
    <w:p w14:paraId="55F452C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（http://tyjr.sz.gov.cn/）下载本项目公开征集文件；</w:t>
      </w:r>
    </w:p>
    <w:p w14:paraId="367C904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方式：在线下载。</w:t>
      </w:r>
    </w:p>
    <w:p w14:paraId="2155BBA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9.提交投标文件：</w:t>
      </w:r>
    </w:p>
    <w:p w14:paraId="108A8C6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截止时间：2026年6月3日下午5:30（北京时间）；</w:t>
      </w:r>
    </w:p>
    <w:p w14:paraId="75F0466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投标方式：现场提交或邮寄投标文件；</w:t>
      </w:r>
    </w:p>
    <w:p w14:paraId="36BEDB64">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投标地点：深圳市福田区景田路72号天平大厦809室；</w:t>
      </w:r>
    </w:p>
    <w:p w14:paraId="52DFE8C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color w:val="auto"/>
          <w:kern w:val="0"/>
          <w:sz w:val="32"/>
          <w:szCs w:val="32"/>
          <w:highlight w:val="none"/>
          <w:lang w:val="en-US" w:eastAsia="zh-CN"/>
        </w:rPr>
        <w:fldChar w:fldCharType="begin"/>
      </w:r>
      <w:r>
        <w:rPr>
          <w:rFonts w:hint="eastAsia" w:ascii="仿宋_GB2312" w:hAnsi="仿宋_GB2312" w:eastAsia="仿宋_GB2312" w:cs="仿宋_GB2312"/>
          <w:color w:val="auto"/>
          <w:kern w:val="0"/>
          <w:sz w:val="32"/>
          <w:szCs w:val="32"/>
          <w:highlight w:val="none"/>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color w:val="auto"/>
          <w:kern w:val="0"/>
          <w:sz w:val="32"/>
          <w:szCs w:val="32"/>
          <w:highlight w:val="none"/>
          <w:lang w:val="en-US" w:eastAsia="zh-CN"/>
        </w:rPr>
        <w:fldChar w:fldCharType="separate"/>
      </w:r>
      <w:r>
        <w:rPr>
          <w:rFonts w:hint="eastAsia" w:ascii="仿宋_GB2312" w:hAnsi="仿宋_GB2312" w:eastAsia="仿宋_GB2312" w:cs="仿宋_GB2312"/>
          <w:color w:val="auto"/>
          <w:kern w:val="0"/>
          <w:sz w:val="32"/>
          <w:szCs w:val="32"/>
          <w:highlight w:val="none"/>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tyjrbgszhz@tyjr.sz.gov.cn）。</w:t>
      </w:r>
      <w:r>
        <w:rPr>
          <w:rFonts w:hint="eastAsia" w:ascii="仿宋_GB2312" w:hAnsi="仿宋_GB2312" w:eastAsia="仿宋_GB2312" w:cs="仿宋_GB2312"/>
          <w:color w:val="auto"/>
          <w:kern w:val="0"/>
          <w:sz w:val="32"/>
          <w:szCs w:val="32"/>
          <w:highlight w:val="none"/>
          <w:lang w:val="en-US" w:eastAsia="zh-CN"/>
        </w:rPr>
        <w:fldChar w:fldCharType="end"/>
      </w:r>
    </w:p>
    <w:p w14:paraId="5747303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lang w:eastAsia="zh-CN"/>
        </w:rPr>
        <w:t>开标时间：投标截止日起</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个工作日内；</w:t>
      </w:r>
    </w:p>
    <w:p w14:paraId="72F0120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敬请各投标人准时参加开标仪式（参加开标时被授权人需出具身份证原件核验，若投标单位更换被授权人，需按要求在开标前重新提交授权委托书、被授权人身份证）</w:t>
      </w:r>
    </w:p>
    <w:p w14:paraId="1F6B150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eastAsia="zh-CN"/>
        </w:rPr>
        <w:t>评分</w:t>
      </w:r>
      <w:r>
        <w:rPr>
          <w:rFonts w:hint="eastAsia" w:ascii="仿宋_GB2312" w:hAnsi="仿宋_GB2312" w:eastAsia="仿宋_GB2312" w:cs="仿宋_GB2312"/>
          <w:color w:val="auto"/>
          <w:kern w:val="0"/>
          <w:sz w:val="32"/>
          <w:szCs w:val="32"/>
          <w:highlight w:val="none"/>
          <w:lang w:val="en-US" w:eastAsia="zh-CN"/>
        </w:rPr>
        <w:t>方法</w:t>
      </w:r>
      <w:r>
        <w:rPr>
          <w:rFonts w:hint="eastAsia" w:ascii="仿宋_GB2312" w:hAnsi="仿宋_GB2312" w:eastAsia="仿宋_GB2312" w:cs="仿宋_GB2312"/>
          <w:color w:val="auto"/>
          <w:kern w:val="0"/>
          <w:sz w:val="32"/>
          <w:szCs w:val="32"/>
          <w:highlight w:val="none"/>
          <w:lang w:eastAsia="zh-CN"/>
        </w:rPr>
        <w:t>：综合评分法；</w:t>
      </w:r>
    </w:p>
    <w:p w14:paraId="0657C935">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lang w:eastAsia="zh-CN"/>
        </w:rPr>
        <w:t>逾期送达（以签到时间为准）或不符合投标规定的投标文件恕不接受；</w:t>
      </w:r>
    </w:p>
    <w:p w14:paraId="33AE7B9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color w:val="auto"/>
          <w:kern w:val="0"/>
          <w:sz w:val="32"/>
          <w:szCs w:val="32"/>
          <w:highlight w:val="none"/>
          <w:lang w:eastAsia="zh-CN"/>
        </w:rPr>
        <w:t>本招标文件所涉及的时间一律为北京时间；</w:t>
      </w:r>
    </w:p>
    <w:p w14:paraId="509849DD">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lang w:eastAsia="zh-CN"/>
        </w:rPr>
        <w:t>有关本次招标之事宜，联系方式如下：</w:t>
      </w:r>
    </w:p>
    <w:p w14:paraId="1F63FEF5">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p>
    <w:tbl>
      <w:tblPr>
        <w:tblStyle w:val="18"/>
        <w:tblW w:w="810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386"/>
        <w:gridCol w:w="5714"/>
      </w:tblGrid>
      <w:tr w14:paraId="127BFD7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0" w:hRule="atLeast"/>
          <w:jc w:val="center"/>
        </w:trPr>
        <w:tc>
          <w:tcPr>
            <w:tcW w:w="8100"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2559257">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联系表</w:t>
            </w:r>
          </w:p>
        </w:tc>
      </w:tr>
      <w:tr w14:paraId="32EDD30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76DF5E9">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采购单位</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3DC5F18">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深圳市退役军人事务局</w:t>
            </w:r>
          </w:p>
        </w:tc>
      </w:tr>
      <w:tr w14:paraId="317B436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BC5C791">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单位地址</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CB3114E">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深圳市</w:t>
            </w:r>
            <w:r>
              <w:rPr>
                <w:rFonts w:hint="eastAsia" w:ascii="仿宋_GB2312" w:hAnsi="仿宋_GB2312" w:eastAsia="仿宋_GB2312" w:cs="仿宋_GB2312"/>
                <w:color w:val="auto"/>
                <w:kern w:val="0"/>
                <w:sz w:val="28"/>
                <w:szCs w:val="28"/>
                <w:highlight w:val="none"/>
              </w:rPr>
              <w:t>福田区景田路72号天平大厦</w:t>
            </w:r>
          </w:p>
        </w:tc>
      </w:tr>
      <w:tr w14:paraId="17FD449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76FF3D3">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联系人</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086AC0B">
            <w:pPr>
              <w:widowControl/>
              <w:spacing w:line="400" w:lineRule="exact"/>
              <w:jc w:val="center"/>
              <w:rPr>
                <w:rFonts w:hint="default"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李先生</w:t>
            </w:r>
          </w:p>
        </w:tc>
      </w:tr>
      <w:tr w14:paraId="06E74D6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8AE1B43">
            <w:pPr>
              <w:widowControl/>
              <w:spacing w:line="4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联系电话</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95FEF17">
            <w:pPr>
              <w:widowControl/>
              <w:spacing w:line="400" w:lineRule="exact"/>
              <w:jc w:val="center"/>
              <w:rPr>
                <w:rFonts w:hint="default"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0755-8825</w:t>
            </w:r>
            <w:r>
              <w:rPr>
                <w:rFonts w:hint="eastAsia" w:ascii="仿宋_GB2312" w:hAnsi="仿宋_GB2312" w:eastAsia="仿宋_GB2312" w:cs="仿宋_GB2312"/>
                <w:color w:val="auto"/>
                <w:kern w:val="0"/>
                <w:sz w:val="28"/>
                <w:szCs w:val="28"/>
                <w:highlight w:val="none"/>
                <w:lang w:val="en-US" w:eastAsia="zh-CN"/>
              </w:rPr>
              <w:t>8978</w:t>
            </w:r>
            <w:r>
              <w:rPr>
                <w:rFonts w:hint="default" w:ascii="仿宋_GB2312" w:hAnsi="仿宋_GB2312" w:eastAsia="仿宋_GB2312" w:cs="仿宋_GB2312"/>
                <w:color w:val="auto"/>
                <w:kern w:val="0"/>
                <w:sz w:val="28"/>
                <w:szCs w:val="28"/>
                <w:highlight w:val="none"/>
                <w:lang w:eastAsia="zh-CN"/>
              </w:rPr>
              <w:t>，13704325860</w:t>
            </w:r>
          </w:p>
        </w:tc>
      </w:tr>
    </w:tbl>
    <w:p w14:paraId="42327BC1">
      <w:pPr>
        <w:rPr>
          <w:rFonts w:hint="eastAsia"/>
          <w:color w:val="auto"/>
          <w:highlight w:val="none"/>
        </w:rPr>
      </w:pPr>
      <w:r>
        <w:rPr>
          <w:rFonts w:hint="eastAsia"/>
          <w:color w:val="auto"/>
          <w:highlight w:val="none"/>
        </w:rPr>
        <w:br w:type="page"/>
      </w:r>
    </w:p>
    <w:p w14:paraId="3E845214">
      <w:pPr>
        <w:pageBreakBefore w:val="0"/>
        <w:spacing w:before="0" w:beforeLines="0" w:after="0" w:afterLines="0"/>
        <w:ind w:firstLine="0" w:firstLineChars="0"/>
        <w:jc w:val="center"/>
        <w:outlineLvl w:val="9"/>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第二部分 投标须知</w:t>
      </w:r>
    </w:p>
    <w:p w14:paraId="4EA9238B">
      <w:pPr>
        <w:spacing w:before="0" w:beforeLines="0" w:after="0" w:afterLines="0" w:line="576"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一、投标书要求</w:t>
      </w:r>
    </w:p>
    <w:p w14:paraId="15074943">
      <w:pPr>
        <w:pStyle w:val="22"/>
        <w:spacing w:beforeLines="0" w:afterLines="0" w:line="576" w:lineRule="exact"/>
        <w:ind w:firstLine="640" w:firstLineChars="200"/>
        <w:jc w:val="both"/>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6D38AF76">
      <w:pPr>
        <w:spacing w:before="0" w:beforeLines="0" w:after="0" w:afterLines="0" w:line="576"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二、投标文件组成</w:t>
      </w:r>
    </w:p>
    <w:p w14:paraId="2D55EDB5">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bookmarkStart w:id="0" w:name="OLE_LINK2"/>
      <w:bookmarkStart w:id="1" w:name="OLE_LINK1"/>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投标报价一览表</w:t>
      </w:r>
    </w:p>
    <w:p w14:paraId="052995B3">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法定代表人资格证明书</w:t>
      </w:r>
    </w:p>
    <w:p w14:paraId="0FCD752B">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法人授权委托证明书</w:t>
      </w:r>
    </w:p>
    <w:p w14:paraId="40111086">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4.法定代表人身份证复印件</w:t>
      </w:r>
    </w:p>
    <w:p w14:paraId="393E5CF7">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5.被授权人身份证复印件（加盖公章、原件备查）</w:t>
      </w:r>
    </w:p>
    <w:p w14:paraId="6B507852">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根据项目需求及服务要求提交方案和佐证材料，包括但不仅限于：营业执照复印件（加盖公章，原件备查）、项目实施服务内容及报价（加盖公章，原件备查），</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项目相关资料。</w:t>
      </w:r>
    </w:p>
    <w:p w14:paraId="0F23F135">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7.投标违约承诺书</w:t>
      </w:r>
    </w:p>
    <w:p w14:paraId="5CF31DAF">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8.政府采购投标及履约承诺书</w:t>
      </w:r>
    </w:p>
    <w:p w14:paraId="44311B87">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9.诚信承诺书</w:t>
      </w:r>
    </w:p>
    <w:p w14:paraId="322DB141">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10.《政府采购违法行为风险知悉确认书》</w:t>
      </w:r>
    </w:p>
    <w:p w14:paraId="128DC958">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11.公开征集</w:t>
      </w:r>
      <w:r>
        <w:rPr>
          <w:rFonts w:hint="eastAsia" w:ascii="仿宋_GB2312" w:hAnsi="仿宋_GB2312" w:eastAsia="仿宋_GB2312" w:cs="仿宋_GB2312"/>
          <w:color w:val="auto"/>
          <w:sz w:val="32"/>
          <w:szCs w:val="32"/>
          <w:highlight w:val="none"/>
          <w:lang w:val="en-US" w:eastAsia="zh-CN"/>
        </w:rPr>
        <w:t>公告中</w:t>
      </w:r>
      <w:r>
        <w:rPr>
          <w:rFonts w:hint="eastAsia" w:ascii="仿宋_GB2312" w:hAnsi="仿宋_GB2312" w:eastAsia="仿宋_GB2312" w:cs="仿宋_GB2312"/>
          <w:color w:val="auto"/>
          <w:kern w:val="0"/>
          <w:sz w:val="32"/>
          <w:szCs w:val="32"/>
          <w:highlight w:val="none"/>
        </w:rPr>
        <w:t>“7.投标人资格要求”中相关证明文件</w:t>
      </w:r>
    </w:p>
    <w:p w14:paraId="4C68DD8F">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sz w:val="32"/>
          <w:szCs w:val="32"/>
          <w:highlight w:val="none"/>
        </w:rPr>
        <w:t>其他供应商认为应该提供的材料</w:t>
      </w:r>
    </w:p>
    <w:bookmarkEnd w:id="0"/>
    <w:bookmarkEnd w:id="1"/>
    <w:p w14:paraId="1E62B7FC">
      <w:pPr>
        <w:spacing w:before="0" w:beforeLines="0" w:after="0" w:afterLines="0" w:line="576"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三、投标书形式</w:t>
      </w:r>
    </w:p>
    <w:p w14:paraId="4EE728DD">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投标方须准备投标书。投标文书应提供</w:t>
      </w:r>
      <w:r>
        <w:rPr>
          <w:rFonts w:hint="eastAsia" w:ascii="仿宋_GB2312" w:hAnsi="仿宋_GB2312" w:eastAsia="仿宋_GB2312" w:cs="仿宋_GB2312"/>
          <w:b w:val="0"/>
          <w:bCs w:val="0"/>
          <w:color w:val="auto"/>
          <w:sz w:val="32"/>
          <w:szCs w:val="32"/>
          <w:highlight w:val="none"/>
        </w:rPr>
        <w:t>壹式</w:t>
      </w:r>
      <w:r>
        <w:rPr>
          <w:rFonts w:hint="eastAsia" w:ascii="仿宋_GB2312" w:hAnsi="仿宋_GB2312" w:eastAsia="仿宋_GB2312" w:cs="仿宋_GB2312"/>
          <w:b w:val="0"/>
          <w:bCs w:val="0"/>
          <w:color w:val="auto"/>
          <w:sz w:val="32"/>
          <w:szCs w:val="32"/>
          <w:highlight w:val="none"/>
          <w:lang w:eastAsia="zh-CN"/>
        </w:rPr>
        <w:t>伍</w:t>
      </w:r>
      <w:r>
        <w:rPr>
          <w:rFonts w:hint="eastAsia" w:ascii="仿宋_GB2312" w:hAnsi="仿宋_GB2312" w:eastAsia="仿宋_GB2312" w:cs="仿宋_GB2312"/>
          <w:b w:val="0"/>
          <w:bCs w:val="0"/>
          <w:color w:val="auto"/>
          <w:sz w:val="32"/>
          <w:szCs w:val="32"/>
          <w:highlight w:val="none"/>
        </w:rPr>
        <w:t>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可壹份正本肆份副本，副本可用正本的复印件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，统一封装，信封密封封口处须加盖投标单位公章（或信封密封封口处粘贴封条并加盖投标单位公章），</w:t>
      </w:r>
      <w:r>
        <w:rPr>
          <w:rFonts w:hint="eastAsia" w:ascii="仿宋_GB2312" w:hAnsi="仿宋_GB2312" w:eastAsia="仿宋_GB2312" w:cs="仿宋_GB2312"/>
          <w:b w:val="0"/>
          <w:color w:val="auto"/>
          <w:sz w:val="32"/>
          <w:szCs w:val="32"/>
          <w:highlight w:val="none"/>
        </w:rPr>
        <w:t>并标注</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
        </w:rPr>
        <w:t>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X</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XX</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3</w:t>
      </w:r>
      <w:r>
        <w:rPr>
          <w:rFonts w:hint="eastAsia" w:ascii="仿宋_GB2312" w:hAnsi="仿宋_GB2312" w:eastAsia="仿宋_GB2312" w:cs="仿宋_GB2312"/>
          <w:b/>
          <w:bCs/>
          <w:color w:val="auto"/>
          <w:sz w:val="32"/>
          <w:szCs w:val="32"/>
          <w:highlight w:val="none"/>
        </w:rPr>
        <w:t>0</w:t>
      </w:r>
      <w:r>
        <w:rPr>
          <w:rFonts w:hint="eastAsia" w:ascii="仿宋_GB2312" w:hAnsi="仿宋_GB2312" w:eastAsia="仿宋_GB2312" w:cs="仿宋_GB2312"/>
          <w:iCs w:val="0"/>
          <w:color w:val="auto"/>
          <w:sz w:val="32"/>
          <w:szCs w:val="32"/>
          <w:highlight w:val="none"/>
        </w:rPr>
        <w:t>（即投标截止时间）</w:t>
      </w:r>
      <w:r>
        <w:rPr>
          <w:rFonts w:hint="eastAsia" w:ascii="仿宋_GB2312" w:hAnsi="仿宋_GB2312" w:eastAsia="仿宋_GB2312" w:cs="仿宋_GB2312"/>
          <w:b w:val="0"/>
          <w:color w:val="auto"/>
          <w:sz w:val="32"/>
          <w:szCs w:val="32"/>
          <w:highlight w:val="none"/>
        </w:rPr>
        <w:t>前不准启封”字样</w:t>
      </w:r>
      <w:r>
        <w:rPr>
          <w:rFonts w:hint="eastAsia" w:ascii="仿宋_GB2312" w:hAnsi="仿宋_GB2312" w:eastAsia="仿宋_GB2312" w:cs="仿宋_GB2312"/>
          <w:color w:val="auto"/>
          <w:sz w:val="32"/>
          <w:szCs w:val="32"/>
          <w:highlight w:val="none"/>
        </w:rPr>
        <w:t>。</w:t>
      </w:r>
    </w:p>
    <w:p w14:paraId="46CC6605">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所有投标书须打印装订并盖公章。</w:t>
      </w:r>
    </w:p>
    <w:p w14:paraId="041DD934">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投标书中不得有任何擦涂、更改痕迹。</w:t>
      </w:r>
      <w:r>
        <w:rPr>
          <w:rFonts w:hint="eastAsia" w:ascii="仿宋_GB2312" w:hAnsi="仿宋_GB2312" w:eastAsia="仿宋_GB2312" w:cs="仿宋_GB2312"/>
          <w:color w:val="auto"/>
          <w:sz w:val="32"/>
          <w:szCs w:val="32"/>
          <w:highlight w:val="none"/>
          <w:lang w:eastAsia="zh-CN"/>
        </w:rPr>
        <w:t>若需</w:t>
      </w:r>
      <w:r>
        <w:rPr>
          <w:rFonts w:hint="eastAsia" w:ascii="仿宋_GB2312" w:hAnsi="仿宋_GB2312" w:eastAsia="仿宋_GB2312" w:cs="仿宋_GB2312"/>
          <w:color w:val="auto"/>
          <w:sz w:val="32"/>
          <w:szCs w:val="32"/>
          <w:highlight w:val="none"/>
        </w:rPr>
        <w:t>更改错漏，须另行加盖公章。</w:t>
      </w:r>
    </w:p>
    <w:p w14:paraId="5A1DF522">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投标方提交的所有资格证明资料不得出现伪造痕迹，一经发现，其投标资格将被取消。</w:t>
      </w:r>
    </w:p>
    <w:p w14:paraId="3A7DC798">
      <w:pPr>
        <w:spacing w:before="0" w:beforeLines="0" w:after="0" w:afterLines="0" w:line="576"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四、投标截止</w:t>
      </w:r>
    </w:p>
    <w:p w14:paraId="32B857AB">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投标单位须在投标截止时间前，将投标文件递交至深圳市退役军人事务局</w:t>
      </w:r>
      <w:r>
        <w:rPr>
          <w:rFonts w:hint="eastAsia" w:ascii="仿宋_GB2312" w:hAnsi="仿宋_GB2312" w:eastAsia="仿宋_GB2312" w:cs="仿宋_GB2312"/>
          <w:b w:val="0"/>
          <w:bCs w:val="0"/>
          <w:color w:val="auto"/>
          <w:sz w:val="32"/>
          <w:szCs w:val="32"/>
          <w:highlight w:val="none"/>
          <w:u w:val="none"/>
        </w:rPr>
        <w:t>（地址：</w:t>
      </w:r>
      <w:r>
        <w:rPr>
          <w:rFonts w:hint="eastAsia" w:ascii="仿宋_GB2312" w:hAnsi="仿宋_GB2312" w:eastAsia="仿宋_GB2312" w:cs="仿宋_GB2312"/>
          <w:b w:val="0"/>
          <w:bCs w:val="0"/>
          <w:color w:val="auto"/>
          <w:sz w:val="32"/>
          <w:szCs w:val="32"/>
          <w:highlight w:val="none"/>
          <w:u w:val="none"/>
          <w:lang w:val="en-US" w:eastAsia="zh-CN"/>
        </w:rPr>
        <w:t>深圳市</w:t>
      </w:r>
      <w:r>
        <w:rPr>
          <w:rFonts w:hint="eastAsia" w:ascii="仿宋_GB2312" w:hAnsi="仿宋_GB2312" w:eastAsia="仿宋_GB2312" w:cs="仿宋_GB2312"/>
          <w:b w:val="0"/>
          <w:bCs w:val="0"/>
          <w:color w:val="auto"/>
          <w:sz w:val="32"/>
          <w:szCs w:val="32"/>
          <w:highlight w:val="none"/>
          <w:u w:val="none"/>
        </w:rPr>
        <w:t>福田区景田路72号天平大厦</w:t>
      </w:r>
      <w:r>
        <w:rPr>
          <w:rFonts w:hint="eastAsia" w:ascii="仿宋_GB2312" w:hAnsi="仿宋_GB2312" w:eastAsia="仿宋_GB2312" w:cs="仿宋_GB2312"/>
          <w:b w:val="0"/>
          <w:bCs w:val="0"/>
          <w:color w:val="auto"/>
          <w:sz w:val="32"/>
          <w:szCs w:val="32"/>
          <w:highlight w:val="none"/>
          <w:u w:val="none"/>
          <w:lang w:val="en-US" w:eastAsia="zh-CN"/>
        </w:rPr>
        <w:t>809室</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电</w:t>
      </w:r>
      <w:r>
        <w:rPr>
          <w:rFonts w:hint="eastAsia" w:ascii="仿宋_GB2312" w:hAnsi="仿宋_GB2312" w:eastAsia="仿宋_GB2312" w:cs="仿宋_GB2312"/>
          <w:b w:val="0"/>
          <w:bCs w:val="0"/>
          <w:color w:val="auto"/>
          <w:sz w:val="32"/>
          <w:szCs w:val="32"/>
          <w:highlight w:val="none"/>
          <w:u w:val="none"/>
        </w:rPr>
        <w:t>话</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0755-8825</w:t>
      </w:r>
      <w:r>
        <w:rPr>
          <w:rFonts w:hint="eastAsia" w:ascii="仿宋_GB2312" w:hAnsi="仿宋_GB2312" w:eastAsia="仿宋_GB2312" w:cs="仿宋_GB2312"/>
          <w:b w:val="0"/>
          <w:bCs w:val="0"/>
          <w:color w:val="auto"/>
          <w:sz w:val="32"/>
          <w:szCs w:val="32"/>
          <w:highlight w:val="none"/>
          <w:u w:val="none"/>
          <w:lang w:val="en-US" w:eastAsia="zh-CN"/>
        </w:rPr>
        <w:t>8978</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 w:val="0"/>
          <w:color w:val="auto"/>
          <w:sz w:val="32"/>
          <w:szCs w:val="32"/>
          <w:highlight w:val="none"/>
          <w:u w:val="none"/>
        </w:rPr>
        <w:t>联系人</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lang w:val="en-US" w:eastAsia="zh-CN"/>
        </w:rPr>
        <w:t>李先生</w:t>
      </w:r>
      <w:r>
        <w:rPr>
          <w:rFonts w:hint="eastAsia" w:ascii="仿宋_GB2312" w:hAnsi="仿宋_GB2312" w:eastAsia="仿宋_GB2312" w:cs="仿宋_GB2312"/>
          <w:b w:val="0"/>
          <w:color w:val="auto"/>
          <w:sz w:val="32"/>
          <w:szCs w:val="32"/>
          <w:highlight w:val="none"/>
          <w:u w:val="none"/>
        </w:rPr>
        <w:t>，</w:t>
      </w:r>
      <w:r>
        <w:rPr>
          <w:rFonts w:hint="eastAsia" w:ascii="仿宋_GB2312" w:hAnsi="仿宋_GB2312" w:eastAsia="仿宋_GB2312" w:cs="仿宋_GB2312"/>
          <w:color w:val="auto"/>
          <w:sz w:val="32"/>
          <w:szCs w:val="32"/>
          <w:highlight w:val="none"/>
        </w:rPr>
        <w:t>逾期递交的投标文件将被拒绝。</w:t>
      </w:r>
    </w:p>
    <w:p w14:paraId="33102576">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收标截止日期过后，任何对投标书修改的申请将不被接受。</w:t>
      </w:r>
    </w:p>
    <w:p w14:paraId="317B6D34">
      <w:pPr>
        <w:pStyle w:val="22"/>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在收标截止日期至中标通知发出这段时间，任何投标方不得撤回投标书。</w:t>
      </w:r>
    </w:p>
    <w:p w14:paraId="4265AFF2">
      <w:pPr>
        <w:spacing w:before="0" w:beforeLines="0" w:after="0" w:afterLines="0" w:line="576"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五、开标</w:t>
      </w:r>
    </w:p>
    <w:p w14:paraId="68BAC5CB">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kern w:val="0"/>
          <w:sz w:val="32"/>
          <w:szCs w:val="32"/>
          <w:highlight w:val="none"/>
        </w:rPr>
        <w:t>投标截止日起</w:t>
      </w:r>
      <w:r>
        <w:rPr>
          <w:rFonts w:hint="eastAsia" w:ascii="仿宋_GB2312" w:hAnsi="仿宋_GB2312" w:eastAsia="仿宋_GB2312" w:cs="仿宋_GB2312"/>
          <w:color w:val="auto"/>
          <w:kern w:val="0"/>
          <w:sz w:val="32"/>
          <w:szCs w:val="32"/>
          <w:highlight w:val="none"/>
          <w:lang w:eastAsia="zh-CN"/>
        </w:rPr>
        <w:t>5</w:t>
      </w:r>
      <w:r>
        <w:rPr>
          <w:rFonts w:hint="eastAsia" w:ascii="仿宋_GB2312" w:hAnsi="仿宋_GB2312" w:eastAsia="仿宋_GB2312" w:cs="仿宋_GB2312"/>
          <w:color w:val="auto"/>
          <w:kern w:val="0"/>
          <w:sz w:val="32"/>
          <w:szCs w:val="32"/>
          <w:highlight w:val="none"/>
        </w:rPr>
        <w:t>个工作日内</w:t>
      </w:r>
      <w:r>
        <w:rPr>
          <w:rFonts w:hint="eastAsia" w:ascii="仿宋_GB2312" w:hAnsi="仿宋_GB2312" w:eastAsia="仿宋_GB2312" w:cs="仿宋_GB2312"/>
          <w:color w:val="auto"/>
          <w:sz w:val="32"/>
          <w:szCs w:val="32"/>
          <w:highlight w:val="none"/>
        </w:rPr>
        <w:t>。</w:t>
      </w:r>
    </w:p>
    <w:p w14:paraId="36EF9D23">
      <w:pPr>
        <w:keepNext w:val="0"/>
        <w:keepLines w:val="0"/>
        <w:spacing w:before="0" w:beforeLines="0" w:after="0" w:afterLines="0" w:line="576" w:lineRule="exact"/>
        <w:ind w:firstLine="640" w:firstLineChars="20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lang w:eastAsia="zh-CN"/>
        </w:rPr>
        <w:t>评标定标信息</w:t>
      </w:r>
    </w:p>
    <w:p w14:paraId="0F5A980E">
      <w:pPr>
        <w:pStyle w:val="22"/>
        <w:spacing w:beforeLines="0" w:afterLines="0" w:line="576" w:lineRule="exact"/>
        <w:ind w:firstLine="640" w:firstLineChars="200"/>
        <w:jc w:val="both"/>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9"/>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7D49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0913604A">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评标方法</w:t>
            </w:r>
          </w:p>
        </w:tc>
        <w:tc>
          <w:tcPr>
            <w:tcW w:w="4065" w:type="dxa"/>
            <w:noWrap w:val="0"/>
            <w:vAlign w:val="top"/>
          </w:tcPr>
          <w:p w14:paraId="628879BA">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综合评分法</w:t>
            </w:r>
          </w:p>
        </w:tc>
      </w:tr>
      <w:tr w14:paraId="15A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7439C112">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候选中标供应商家数</w:t>
            </w:r>
          </w:p>
        </w:tc>
        <w:tc>
          <w:tcPr>
            <w:tcW w:w="4065" w:type="dxa"/>
            <w:noWrap w:val="0"/>
            <w:vAlign w:val="top"/>
          </w:tcPr>
          <w:p w14:paraId="6F298D6E">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3</w:t>
            </w:r>
          </w:p>
        </w:tc>
      </w:tr>
      <w:tr w14:paraId="38EE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54CD7E51">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中标供应商家数</w:t>
            </w:r>
          </w:p>
        </w:tc>
        <w:tc>
          <w:tcPr>
            <w:tcW w:w="4065" w:type="dxa"/>
            <w:noWrap w:val="0"/>
            <w:vAlign w:val="top"/>
          </w:tcPr>
          <w:p w14:paraId="256A39BD">
            <w:pPr>
              <w:pStyle w:val="22"/>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1</w:t>
            </w:r>
          </w:p>
        </w:tc>
      </w:tr>
    </w:tbl>
    <w:p w14:paraId="49A9C98E">
      <w:pPr>
        <w:pStyle w:val="22"/>
        <w:pageBreakBefore w:val="0"/>
        <w:widowControl w:val="0"/>
        <w:kinsoku/>
        <w:wordWrap/>
        <w:overflowPunct/>
        <w:topLinePunct w:val="0"/>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评审委员会对每个通过资格性检查和符合性检查且报价不超过最高限价的投标人进行评审、打分，然后汇总每个投标人每项评分因素的评分。</w:t>
      </w:r>
    </w:p>
    <w:p w14:paraId="6792D9F9">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kern w:val="0"/>
          <w:sz w:val="32"/>
          <w:szCs w:val="32"/>
          <w:highlight w:val="none"/>
          <w:lang w:eastAsia="zh-CN"/>
        </w:rPr>
        <w:t>评委会在评审时，按照《评标信息》中的评审因素，对进入该阶段评审的各投标文件进行分析和比较。</w:t>
      </w:r>
    </w:p>
    <w:p w14:paraId="539C3E83">
      <w:pPr>
        <w:keepNext w:val="0"/>
        <w:keepLines w:val="0"/>
        <w:spacing w:before="0" w:beforeLines="0" w:after="0" w:afterLines="0" w:line="576" w:lineRule="exact"/>
        <w:ind w:firstLine="640" w:firstLineChars="20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lang w:eastAsia="zh-CN"/>
        </w:rPr>
        <w:t>其他事项</w:t>
      </w:r>
    </w:p>
    <w:p w14:paraId="7AEE1430">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关于享受优惠政策的主体及价格扣除比例</w:t>
      </w:r>
    </w:p>
    <w:p w14:paraId="604D8024">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（1）投标人提供的服务</w:t>
      </w:r>
      <w:r>
        <w:rPr>
          <w:rFonts w:hint="eastAsia" w:ascii="仿宋_GB2312" w:hAnsi="仿宋_GB2312" w:eastAsia="仿宋_GB2312" w:cs="仿宋_GB2312"/>
          <w:color w:val="auto"/>
          <w:sz w:val="32"/>
          <w:szCs w:val="32"/>
          <w:highlight w:val="none"/>
          <w:lang w:eastAsia="zh-CN"/>
        </w:rPr>
        <w:t>全部</w:t>
      </w:r>
      <w:r>
        <w:rPr>
          <w:rFonts w:hint="eastAsia" w:ascii="仿宋_GB2312" w:hAnsi="仿宋_GB2312" w:eastAsia="仿宋_GB2312" w:cs="仿宋_GB2312"/>
          <w:color w:val="auto"/>
          <w:sz w:val="32"/>
          <w:szCs w:val="32"/>
          <w:highlight w:val="none"/>
        </w:rPr>
        <w:t>由优惠主体承接，则对其投标总价给予</w:t>
      </w:r>
      <w:r>
        <w:rPr>
          <w:rFonts w:hint="default" w:ascii="仿宋_GB2312" w:hAnsi="仿宋_GB2312" w:eastAsia="仿宋_GB2312" w:cs="仿宋_GB2312"/>
          <w:color w:val="auto"/>
          <w:sz w:val="32"/>
          <w:szCs w:val="32"/>
          <w:highlight w:val="none"/>
          <w:u w:val="none"/>
          <w:lang w:eastAsia="zh-CN"/>
        </w:rPr>
        <w:t>10%</w:t>
      </w:r>
      <w:r>
        <w:rPr>
          <w:rFonts w:hint="eastAsia" w:ascii="仿宋_GB2312" w:hAnsi="仿宋_GB2312" w:eastAsia="仿宋_GB2312" w:cs="仿宋_GB2312"/>
          <w:color w:val="auto"/>
          <w:sz w:val="32"/>
          <w:szCs w:val="32"/>
          <w:highlight w:val="none"/>
        </w:rPr>
        <w:t>的扣除，用扣除后的价格参与评审。满足多项优惠政策的企业，不重复享受多项价格扣除政策。</w:t>
      </w:r>
    </w:p>
    <w:p w14:paraId="5B3F90D8">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b</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优惠主体承接是指提供服务的人员为中小企业依照《中华人民共和国劳动合同法》订立劳动合同的从业人员。</w:t>
      </w:r>
    </w:p>
    <w:p w14:paraId="59D203C5">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根据《工业和信息化部、国家统计局、国家发展和改革委员会、财政部关于印发中小企业划型标准规定的通知》（工信部联企业〔2011〕300号），本项目采购标的（服务需求）对应的中小企业划分标准所属行业为</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其他未列</w:t>
      </w:r>
      <w:r>
        <w:rPr>
          <w:rFonts w:hint="eastAsia" w:ascii="仿宋_GB2312" w:hAnsi="仿宋_GB2312" w:eastAsia="仿宋_GB2312" w:cs="仿宋_GB2312"/>
          <w:color w:val="auto"/>
          <w:sz w:val="32"/>
          <w:szCs w:val="32"/>
          <w:highlight w:val="none"/>
          <w:lang w:eastAsia="zh-CN"/>
        </w:rPr>
        <w:t>明的</w:t>
      </w:r>
      <w:r>
        <w:rPr>
          <w:rFonts w:hint="default" w:ascii="仿宋_GB2312" w:hAnsi="仿宋_GB2312" w:eastAsia="仿宋_GB2312" w:cs="仿宋_GB2312"/>
          <w:color w:val="auto"/>
          <w:sz w:val="32"/>
          <w:szCs w:val="32"/>
          <w:highlight w:val="none"/>
        </w:rPr>
        <w:t>行业</w:t>
      </w:r>
      <w:r>
        <w:rPr>
          <w:rFonts w:hint="eastAsia" w:ascii="仿宋_GB2312" w:hAnsi="仿宋_GB2312" w:eastAsia="仿宋_GB2312" w:cs="仿宋_GB2312"/>
          <w:color w:val="auto"/>
          <w:sz w:val="32"/>
          <w:szCs w:val="32"/>
          <w:highlight w:val="none"/>
        </w:rPr>
        <w:t>。</w:t>
      </w:r>
    </w:p>
    <w:p w14:paraId="7B55E683">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（3）小型企业、微型企业作为优惠主体的认定资料为《中小企业声明函》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模板见附件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611DA550">
      <w:pPr>
        <w:pStyle w:val="22"/>
        <w:spacing w:beforeLines="0" w:afterLines="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（4）享受价格扣除获得政府采购合同的，小微企业不得将合同分包给大中型企业。</w:t>
      </w:r>
    </w:p>
    <w:p w14:paraId="00535677">
      <w:pPr>
        <w:spacing w:line="240" w:lineRule="auto"/>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br w:type="page"/>
      </w:r>
    </w:p>
    <w:p w14:paraId="2F3EDA51">
      <w:pPr>
        <w:pStyle w:val="3"/>
        <w:pageBreakBefore w:val="0"/>
        <w:spacing w:beforeLines="0" w:after="157" w:afterLines="50" w:line="6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第三部分 公开征集项目要求</w:t>
      </w:r>
    </w:p>
    <w:p w14:paraId="00AB8369">
      <w:pPr>
        <w:numPr>
          <w:ilvl w:val="0"/>
          <w:numId w:val="0"/>
        </w:numPr>
        <w:spacing w:beforeLines="0" w:afterLines="0" w:line="576" w:lineRule="exact"/>
        <w:ind w:firstLine="640" w:firstLineChars="200"/>
        <w:rPr>
          <w:rFonts w:hint="eastAsia" w:ascii="黑体" w:hAnsi="黑体" w:eastAsia="黑体" w:cs="黑体"/>
          <w:color w:val="auto"/>
          <w:sz w:val="32"/>
          <w:szCs w:val="32"/>
          <w:highlight w:val="none"/>
        </w:rPr>
      </w:pPr>
    </w:p>
    <w:p w14:paraId="30FF5882">
      <w:pPr>
        <w:numPr>
          <w:ilvl w:val="0"/>
          <w:numId w:val="0"/>
        </w:numPr>
        <w:spacing w:beforeLines="0" w:afterLines="0" w:line="576"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一、商务需求</w:t>
      </w:r>
    </w:p>
    <w:p w14:paraId="6757C082">
      <w:pPr>
        <w:spacing w:beforeLines="0" w:afterLines="0" w:line="576"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（一）项目工期</w:t>
      </w:r>
    </w:p>
    <w:p w14:paraId="6006717E">
      <w:p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自合同签订</w:t>
      </w:r>
      <w:r>
        <w:rPr>
          <w:rFonts w:hint="eastAsia" w:ascii="仿宋_GB2312" w:hAnsi="仿宋_GB2312" w:eastAsia="仿宋_GB2312" w:cs="仿宋_GB2312"/>
          <w:color w:val="auto"/>
          <w:sz w:val="32"/>
          <w:szCs w:val="32"/>
          <w:highlight w:val="none"/>
          <w:lang w:eastAsia="zh-CN"/>
        </w:rPr>
        <w:t>之日起</w:t>
      </w:r>
      <w:r>
        <w:rPr>
          <w:rFonts w:hint="eastAsia" w:ascii="仿宋_GB2312" w:hAnsi="仿宋_GB2312" w:eastAsia="仿宋_GB2312" w:cs="仿宋_GB2312"/>
          <w:color w:val="auto"/>
          <w:sz w:val="32"/>
          <w:szCs w:val="32"/>
          <w:highlight w:val="none"/>
        </w:rPr>
        <w:t>一年，我单位可根据项目需要和中标供应商的履约情况确定合同期限是否延长，但最长不得超过36个月，合同一年一签。若我单位对中标供应商的履约情况不满意可不再续签。</w:t>
      </w:r>
    </w:p>
    <w:p w14:paraId="633BCA1D">
      <w:pPr>
        <w:spacing w:beforeLines="0" w:afterLines="0" w:line="576"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（二）公开征集控制价</w:t>
      </w:r>
    </w:p>
    <w:p w14:paraId="17A5776A">
      <w:p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服务费采用包干制，包括但不限于人员工资、加班费、技术津贴、工具费、材料费、养老保险、医疗保险、失业保险、通胀风险、利润、管理费、税金等一切费用。由企业根据公开征集文件所提供的资料自行测算投标报价；一经中标，投标报价总价作为中标单位与采购单位签订的合同金额，合同期限内不作调整。</w:t>
      </w:r>
    </w:p>
    <w:p w14:paraId="5CE92F89">
      <w:p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投标人应根据本企业的成本自行决定报价，但不得以低于其企业成本的报价竞标。</w:t>
      </w:r>
    </w:p>
    <w:p w14:paraId="74EAF579">
      <w:pPr>
        <w:numPr>
          <w:ilvl w:val="0"/>
          <w:numId w:val="0"/>
        </w:num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（1）本项目预算金额为50万元，投标人根据采购需求，提出合理的、可行的项目实施方案，并对该项目实施过程中所涉及的费用进行报价。本次报价采取投标总价报价。</w:t>
      </w:r>
    </w:p>
    <w:p w14:paraId="298BF080">
      <w:p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（2）所有报价按人民币填写，并列明总价。投标总价，即采购人支付给中标人的本次公开征集的物、满足需求书、完成整个合同的所有费用。</w:t>
      </w:r>
    </w:p>
    <w:p w14:paraId="52654394">
      <w:pPr>
        <w:spacing w:beforeLines="0"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投标人的投标报价，应是本项目公开征集范围和公开征集文件及合同条款上所列的各项内容中所述的全部，不得以任何理由予以重复，并以投标人在中提出的综合单价或总价为依据。</w:t>
      </w:r>
    </w:p>
    <w:p w14:paraId="10186144">
      <w:pPr>
        <w:spacing w:beforeLines="0" w:afterLines="0" w:line="576"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（三）付款方式</w:t>
      </w:r>
    </w:p>
    <w:p w14:paraId="4295C968">
      <w:pPr>
        <w:spacing w:beforeLines="0" w:afterLines="0" w:line="576"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签订合同10个工作日后，采购单位将支付合同金额的</w:t>
      </w: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%首款，中标单位需提供等额发票；在本年底之前采购单位将支付合同金额的</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%中期款，中标单位需提供阶段性验收材料及等额发票；合同到期后采购单位将支付</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%尾款，中标单位需提供验收报告及等额发票。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以合同实际签订为准）。</w:t>
      </w:r>
    </w:p>
    <w:p w14:paraId="0BE1FA5B">
      <w:pPr>
        <w:spacing w:beforeLines="0" w:afterLines="0" w:line="576"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二、技术需求</w:t>
      </w:r>
    </w:p>
    <w:p w14:paraId="21EE1813">
      <w:pPr>
        <w:spacing w:beforeLines="0" w:afterLines="0" w:line="576" w:lineRule="exact"/>
        <w:ind w:firstLine="640" w:firstLineChars="200"/>
        <w:rPr>
          <w:rFonts w:hint="eastAsia" w:ascii="楷体_GB2312" w:hAnsi="楷体_GB2312" w:eastAsia="楷体_GB2312" w:cs="楷体_GB2312"/>
          <w:bCs/>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1.网络信息监测系统服务：提供一套专业的网络信息大数据分析系统支撑监测服务工作，采用SaaS模式部署。功能要求：信息监测、高级检索、智能推荐、专题聚焦、重点追踪、风险预警。采集范围要求：包括但不限于抖音、小红书、快手、视频号、微博、新闻APP、微信、论坛、报纸等。采集评率要求：7*24小时无间断采集。</w:t>
      </w:r>
    </w:p>
    <w:p w14:paraId="54C44666">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2.网络信息处理与分析服务：对海量、繁杂的网络信息进行深度处理，识别信息真伪、评估其价值与潜在影响。依据预设标准对信息进行重要性、紧急性分级。筛选高价值信息，编制简明分析报告。对需关注的信息启动初步应对流程。敏锐察觉潜在的网络声誉或公共关系风险信号，及时发出预警，助力防范事态发酵升级。</w:t>
      </w:r>
    </w:p>
    <w:p w14:paraId="354368BF">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3.公众互动事项办理服务：高效处理官网后台公众留言，每个工作日检查官网留言中心模块，导出咨询、建议、投诉类留言。制作标准化清单，按业务归属分发至相关部门研提答复意见。协助完成内部审批流程。将审批确认的答复内容录入系统并办结。</w:t>
      </w:r>
    </w:p>
    <w:p w14:paraId="2D72D264">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4.内容质量巡检服务：持续提升官网及相关链接网站内容质量与有效性，安排专人每个工作日对网站所有栏目、页面进行全面巡查。重点排查内容错误、链接失效、表述不当、敏感词/错别字等问题。发现问题后及时记录、报告并协调处理整改。</w:t>
      </w:r>
    </w:p>
    <w:p w14:paraId="7BBA74B3">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5.信息发布审核服务：保障官网及相关链接网站发布信息的准确性与合规性，全年对各部门提交拟发布的信息进行内容审核（含政策符合性、表述规范性、数据准确性等）。审核通过后，完成在官网指定位置的发布操作。</w:t>
      </w:r>
    </w:p>
    <w:p w14:paraId="5C2931B4">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sz w:val="32"/>
          <w:szCs w:val="32"/>
          <w:highlight w:val="none"/>
          <w:lang w:val="en-US" w:eastAsia="zh-CN"/>
        </w:rPr>
        <w:t>6.网站页面优化及资源管理服务：</w:t>
      </w:r>
      <w:r>
        <w:rPr>
          <w:rFonts w:hint="eastAsia" w:ascii="仿宋_GB2312" w:hAnsi="仿宋_GB2312" w:eastAsia="仿宋_GB2312" w:cs="仿宋_GB2312"/>
          <w:bCs w:val="0"/>
          <w:color w:val="auto"/>
          <w:sz w:val="32"/>
          <w:szCs w:val="32"/>
          <w:highlight w:val="none"/>
          <w:lang w:eastAsia="zh-CN"/>
        </w:rPr>
        <w:t>对官网各个栏目页面进行维护、优化和调整排版，并对网站各项资源进行管理，保障官网的平稳运行。</w:t>
      </w:r>
    </w:p>
    <w:p w14:paraId="7E8B538E">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7.信息简报与报告服务：提供常态化的信息整理与报告输出，每日信息推送，针对突发或热点事件快速形成简报，持续跟进重大事件发展脉络。编制并提供《信息日报》、《月度综述报告》及《专项总结报告》。</w:t>
      </w:r>
    </w:p>
    <w:p w14:paraId="5F49A9BD">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8.信息安全意识与事件应对能力提升培训服务：组织面向系统使用及管理人员的相关课程，涵盖信息安全基础知识、常见威胁防范、数据安全、以及网络信息事件（如不实信息传播、负面关注等）的发现、研判与初步应对策略，增强相关人员安全防护与事件处置能力。</w:t>
      </w:r>
    </w:p>
    <w:p w14:paraId="491C4A99">
      <w:pPr>
        <w:spacing w:beforeLines="0" w:afterLines="0" w:line="576"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三、项目验收要求：</w:t>
      </w:r>
    </w:p>
    <w:p w14:paraId="77A511E6">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rPr>
        <w:t>网络信息监测系统1套</w:t>
      </w:r>
      <w:r>
        <w:rPr>
          <w:rFonts w:hint="eastAsia" w:ascii="仿宋_GB2312" w:hAnsi="仿宋_GB2312" w:eastAsia="仿宋_GB2312" w:cs="仿宋_GB2312"/>
          <w:bCs w:val="0"/>
          <w:color w:val="auto"/>
          <w:sz w:val="32"/>
          <w:szCs w:val="32"/>
          <w:highlight w:val="none"/>
          <w:lang w:val="en-US" w:eastAsia="zh-CN"/>
        </w:rPr>
        <w:t>及账号密码</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《系统开通及配置说明》</w:t>
      </w:r>
      <w:r>
        <w:rPr>
          <w:rFonts w:hint="eastAsia" w:ascii="仿宋_GB2312" w:hAnsi="仿宋_GB2312" w:eastAsia="仿宋_GB2312" w:cs="仿宋_GB2312"/>
          <w:bCs w:val="0"/>
          <w:color w:val="auto"/>
          <w:sz w:val="32"/>
          <w:szCs w:val="32"/>
          <w:highlight w:val="none"/>
          <w:lang w:val="en-US" w:eastAsia="zh-CN"/>
        </w:rPr>
        <w:t>1份</w:t>
      </w:r>
      <w:r>
        <w:rPr>
          <w:rFonts w:hint="eastAsia" w:ascii="仿宋_GB2312" w:hAnsi="仿宋_GB2312" w:eastAsia="仿宋_GB2312" w:cs="仿宋_GB2312"/>
          <w:bCs w:val="0"/>
          <w:color w:val="auto"/>
          <w:sz w:val="32"/>
          <w:szCs w:val="32"/>
          <w:highlight w:val="none"/>
        </w:rPr>
        <w:t>，内容包括账号信息、功能模块、监测范围、关键词设置、专题设置、预警规则等</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系统运行记录</w:t>
      </w:r>
      <w:r>
        <w:rPr>
          <w:rFonts w:hint="eastAsia" w:ascii="仿宋_GB2312" w:hAnsi="仿宋_GB2312" w:eastAsia="仿宋_GB2312" w:cs="仿宋_GB2312"/>
          <w:bCs w:val="0"/>
          <w:color w:val="auto"/>
          <w:sz w:val="32"/>
          <w:szCs w:val="32"/>
          <w:highlight w:val="none"/>
          <w:lang w:val="en-US" w:eastAsia="zh-CN"/>
        </w:rPr>
        <w:t>1份</w:t>
      </w:r>
      <w:r>
        <w:rPr>
          <w:rFonts w:hint="eastAsia" w:ascii="仿宋_GB2312" w:hAnsi="仿宋_GB2312" w:eastAsia="仿宋_GB2312" w:cs="仿宋_GB2312"/>
          <w:bCs w:val="0"/>
          <w:color w:val="auto"/>
          <w:sz w:val="32"/>
          <w:szCs w:val="32"/>
          <w:highlight w:val="none"/>
          <w:lang w:eastAsia="zh-CN"/>
        </w:rPr>
        <w:t>；</w:t>
      </w:r>
    </w:p>
    <w:p w14:paraId="5F67FD54">
      <w:pPr>
        <w:spacing w:beforeLines="0" w:afterLines="0" w:line="576" w:lineRule="exact"/>
        <w:ind w:left="0" w:leftChars="0"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2.</w:t>
      </w:r>
      <w:r>
        <w:rPr>
          <w:rFonts w:hint="eastAsia" w:ascii="仿宋_GB2312" w:hAnsi="仿宋_GB2312" w:eastAsia="仿宋_GB2312" w:cs="仿宋_GB2312"/>
          <w:bCs w:val="0"/>
          <w:color w:val="auto"/>
          <w:sz w:val="32"/>
          <w:szCs w:val="32"/>
          <w:highlight w:val="none"/>
        </w:rPr>
        <w:t>《信息分级分类标准》</w:t>
      </w:r>
      <w:r>
        <w:rPr>
          <w:rFonts w:hint="eastAsia" w:ascii="仿宋_GB2312" w:hAnsi="仿宋_GB2312" w:eastAsia="仿宋_GB2312" w:cs="仿宋_GB2312"/>
          <w:bCs w:val="0"/>
          <w:color w:val="auto"/>
          <w:sz w:val="32"/>
          <w:szCs w:val="32"/>
          <w:highlight w:val="none"/>
          <w:lang w:val="en-US" w:eastAsia="zh-CN"/>
        </w:rPr>
        <w:t>1份、网络信息分析报告按需提供；</w:t>
      </w:r>
    </w:p>
    <w:p w14:paraId="14C5DF41">
      <w:pPr>
        <w:spacing w:beforeLines="0" w:afterLines="0" w:line="576" w:lineRule="exact"/>
        <w:ind w:left="0" w:leftChars="0"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3.《公众留言办理台账》1份；</w:t>
      </w:r>
    </w:p>
    <w:p w14:paraId="4B5545DA">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4.《网站内容质量巡检记录台账》不少于1份；</w:t>
      </w:r>
    </w:p>
    <w:p w14:paraId="41EAD984">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5.《重大节假日网站检查、抽查记录台账》1份；</w:t>
      </w:r>
    </w:p>
    <w:p w14:paraId="38B49F1C">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6.《网站运营报告》1份；</w:t>
      </w:r>
    </w:p>
    <w:p w14:paraId="38D714B5">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7.</w:t>
      </w:r>
      <w:r>
        <w:rPr>
          <w:rFonts w:hint="eastAsia" w:ascii="仿宋_GB2312" w:hAnsi="仿宋_GB2312" w:eastAsia="仿宋_GB2312" w:cs="仿宋_GB2312"/>
          <w:bCs w:val="0"/>
          <w:color w:val="auto"/>
          <w:sz w:val="32"/>
          <w:szCs w:val="32"/>
          <w:highlight w:val="none"/>
        </w:rPr>
        <w:t>《信息日报》</w:t>
      </w:r>
      <w:r>
        <w:rPr>
          <w:rFonts w:hint="eastAsia" w:ascii="仿宋_GB2312" w:hAnsi="仿宋_GB2312" w:eastAsia="仿宋_GB2312" w:cs="仿宋_GB2312"/>
          <w:bCs w:val="0"/>
          <w:color w:val="auto"/>
          <w:sz w:val="32"/>
          <w:szCs w:val="32"/>
          <w:highlight w:val="none"/>
          <w:lang w:val="en-US" w:eastAsia="zh-CN"/>
        </w:rPr>
        <w:t>250份、《月度综述报告》12份、及《专项总结报告》2份；</w:t>
      </w:r>
    </w:p>
    <w:p w14:paraId="31E049C8">
      <w:pPr>
        <w:spacing w:beforeLines="0" w:afterLines="0" w:line="576" w:lineRule="exact"/>
        <w:ind w:firstLine="640" w:firstLineChars="200"/>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sz w:val="32"/>
          <w:szCs w:val="32"/>
          <w:highlight w:val="none"/>
          <w:lang w:val="en-US" w:eastAsia="zh-CN"/>
        </w:rPr>
        <w:t>8.培训不少于3场。</w:t>
      </w:r>
    </w:p>
    <w:p w14:paraId="10F020B5">
      <w:pPr>
        <w:spacing w:beforeLines="0" w:afterLines="0" w:line="560" w:lineRule="exact"/>
        <w:ind w:firstLine="420" w:firstLineChars="200"/>
        <w:rPr>
          <w:rFonts w:hint="default"/>
          <w:color w:val="auto"/>
          <w:sz w:val="21"/>
          <w:szCs w:val="22"/>
          <w:highlight w:val="none"/>
        </w:rPr>
      </w:pPr>
    </w:p>
    <w:p w14:paraId="135EF086">
      <w:pPr>
        <w:pageBreakBefore w:val="0"/>
        <w:adjustRightInd w:val="0"/>
        <w:spacing w:before="0" w:after="0"/>
        <w:ind w:firstLineChars="200"/>
        <w:jc w:val="center"/>
        <w:rPr>
          <w:rFonts w:hint="eastAsia" w:ascii="方正小标宋简体" w:hAnsi="方正小标宋简体" w:eastAsia="方正小标宋简体" w:cs="方正小标宋简体"/>
          <w:b w:val="0"/>
          <w:bCs w:val="0"/>
          <w:color w:val="auto"/>
          <w:sz w:val="44"/>
          <w:szCs w:val="44"/>
          <w:highlight w:val="none"/>
        </w:rPr>
      </w:pPr>
      <w:bookmarkStart w:id="2" w:name="_Toc484614587"/>
      <w:r>
        <w:rPr>
          <w:rFonts w:hint="eastAsia" w:ascii="方正小标宋简体" w:hAnsi="方正小标宋简体" w:eastAsia="方正小标宋简体" w:cs="方正小标宋简体"/>
          <w:b w:val="0"/>
          <w:bCs w:val="0"/>
          <w:color w:val="auto"/>
          <w:sz w:val="44"/>
          <w:szCs w:val="44"/>
          <w:highlight w:val="none"/>
        </w:rPr>
        <w:br w:type="page"/>
      </w:r>
    </w:p>
    <w:p w14:paraId="7A3CD494">
      <w:pPr>
        <w:pStyle w:val="3"/>
        <w:pageBreakBefore w:val="0"/>
        <w:adjustRightInd w:val="0"/>
        <w:spacing w:before="0" w:after="157" w:afterLines="50" w:line="576" w:lineRule="exact"/>
        <w:ind w:firstLine="0" w:firstLineChars="0"/>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第四部分 评标信息</w:t>
      </w:r>
    </w:p>
    <w:bookmarkEnd w:id="2"/>
    <w:p w14:paraId="72008E07">
      <w:pPr>
        <w:adjustRightInd w:val="0"/>
        <w:spacing w:line="56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综合评分法，是指投标文件满足公开征集文件全部实质性要求，且按照评审因素的量化指标评审得分最高的投标人为中标候选人的评标方法。</w:t>
      </w:r>
    </w:p>
    <w:p w14:paraId="75C5DB4F">
      <w:pPr>
        <w:adjustRightIn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价格分计算方法：参照财政部令</w:t>
      </w:r>
      <w:r>
        <w:rPr>
          <w:rFonts w:hint="eastAsia" w:ascii="仿宋_GB2312" w:hAnsi="仿宋_GB2312" w:eastAsia="仿宋_GB2312" w:cs="仿宋_GB2312"/>
          <w:color w:val="auto"/>
          <w:sz w:val="32"/>
          <w:szCs w:val="32"/>
          <w:highlight w:val="none"/>
          <w:lang w:eastAsia="zh-CN"/>
        </w:rPr>
        <w:t>〔2017〕87号</w:t>
      </w:r>
      <w:r>
        <w:rPr>
          <w:rFonts w:hint="eastAsia" w:ascii="仿宋_GB2312" w:hAnsi="仿宋_GB2312" w:eastAsia="仿宋_GB2312" w:cs="仿宋_GB2312"/>
          <w:color w:val="auto"/>
          <w:sz w:val="32"/>
          <w:szCs w:val="32"/>
          <w:highlight w:val="none"/>
        </w:rPr>
        <w:t>文件等的规定，评标价是指即满足招标文件要求且投标价格有效投标报价算术平均值为</w:t>
      </w:r>
      <w:r>
        <w:rPr>
          <w:rFonts w:hint="eastAsia" w:ascii="仿宋_GB2312" w:hAnsi="仿宋_GB2312" w:eastAsia="仿宋_GB2312" w:cs="仿宋_GB2312"/>
          <w:color w:val="auto"/>
          <w:sz w:val="32"/>
          <w:szCs w:val="32"/>
          <w:highlight w:val="none"/>
          <w:lang w:val="en-US" w:eastAsia="zh-CN"/>
        </w:rPr>
        <w:t>评标</w:t>
      </w:r>
      <w:r>
        <w:rPr>
          <w:rFonts w:hint="eastAsia" w:ascii="仿宋_GB2312" w:hAnsi="仿宋_GB2312" w:eastAsia="仿宋_GB2312" w:cs="仿宋_GB2312"/>
          <w:color w:val="auto"/>
          <w:sz w:val="32"/>
          <w:szCs w:val="32"/>
          <w:highlight w:val="none"/>
        </w:rPr>
        <w:t>基准价</w:t>
      </w:r>
      <w:r>
        <w:rPr>
          <w:rFonts w:hint="eastAsia" w:ascii="仿宋_GB2312" w:hAnsi="仿宋_GB2312" w:eastAsia="仿宋_GB2312" w:cs="仿宋_GB2312"/>
          <w:color w:val="auto"/>
          <w:sz w:val="32"/>
          <w:szCs w:val="32"/>
          <w:highlight w:val="none"/>
          <w:lang w:eastAsia="zh-CN"/>
        </w:rPr>
        <w:t>。</w:t>
      </w:r>
    </w:p>
    <w:p w14:paraId="68293BA2">
      <w:pPr>
        <w:adjustRightIn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投标报价得分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－｜投标报价－评标基准价｜÷评标基准价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×权重</w:t>
      </w:r>
      <w:r>
        <w:rPr>
          <w:rFonts w:hint="eastAsia" w:ascii="仿宋_GB2312" w:hAnsi="仿宋_GB2312" w:eastAsia="仿宋_GB2312" w:cs="仿宋_GB2312"/>
          <w:color w:val="auto"/>
          <w:sz w:val="32"/>
          <w:szCs w:val="32"/>
          <w:highlight w:val="none"/>
          <w:lang w:eastAsia="zh-CN"/>
        </w:rPr>
        <w:t>。</w:t>
      </w:r>
    </w:p>
    <w:p w14:paraId="21376E0F">
      <w:pPr>
        <w:adjustRightInd w:val="0"/>
        <w:spacing w:line="560" w:lineRule="exact"/>
        <w:ind w:firstLine="640"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评标总得分＝F1＋F2＋……＋Fn</w:t>
      </w:r>
      <w:r>
        <w:rPr>
          <w:rFonts w:hint="eastAsia" w:ascii="仿宋_GB2312" w:hAnsi="仿宋_GB2312" w:eastAsia="仿宋_GB2312" w:cs="仿宋_GB2312"/>
          <w:color w:val="auto"/>
          <w:sz w:val="32"/>
          <w:szCs w:val="32"/>
          <w:highlight w:val="none"/>
          <w:lang w:eastAsia="zh-CN"/>
        </w:rPr>
        <w:t>。</w:t>
      </w:r>
    </w:p>
    <w:p w14:paraId="44B2CA0C">
      <w:pPr>
        <w:adjustRightIn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F1、F2……Fn分别为各项评审因素的得分</w:t>
      </w:r>
      <w:r>
        <w:rPr>
          <w:rFonts w:hint="eastAsia" w:ascii="仿宋_GB2312" w:hAnsi="仿宋_GB2312" w:eastAsia="仿宋_GB2312" w:cs="仿宋_GB2312"/>
          <w:color w:val="auto"/>
          <w:sz w:val="32"/>
          <w:szCs w:val="32"/>
          <w:highlight w:val="none"/>
          <w:lang w:eastAsia="zh-CN"/>
        </w:rPr>
        <w:t>；</w:t>
      </w:r>
    </w:p>
    <w:p w14:paraId="296E1B82">
      <w:pPr>
        <w:adjustRightIn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评标过程中，不得去掉报价中的最高报价和最低报价。</w:t>
      </w:r>
    </w:p>
    <w:tbl>
      <w:tblPr>
        <w:tblStyle w:val="18"/>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20" w:type="dxa"/>
          <w:left w:w="108" w:type="dxa"/>
          <w:bottom w:w="20" w:type="dxa"/>
          <w:right w:w="108" w:type="dxa"/>
        </w:tblCellMar>
      </w:tblPr>
      <w:tblGrid>
        <w:gridCol w:w="676"/>
        <w:gridCol w:w="675"/>
        <w:gridCol w:w="1304"/>
        <w:gridCol w:w="1290"/>
        <w:gridCol w:w="5127"/>
      </w:tblGrid>
      <w:tr w14:paraId="02E5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tcBorders>
              <w:tl2br w:val="nil"/>
              <w:tr2bl w:val="nil"/>
            </w:tcBorders>
            <w:shd w:val="clear" w:color="auto" w:fill="auto"/>
            <w:vAlign w:val="center"/>
          </w:tcPr>
          <w:p w14:paraId="05B4A385">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序号</w:t>
            </w:r>
          </w:p>
        </w:tc>
        <w:tc>
          <w:tcPr>
            <w:tcW w:w="326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B22834">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评分项</w:t>
            </w:r>
          </w:p>
        </w:tc>
        <w:tc>
          <w:tcPr>
            <w:tcW w:w="51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2D7D29">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权重</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lang w:eastAsia="zh-CN"/>
              </w:rPr>
              <w:t>）</w:t>
            </w:r>
          </w:p>
        </w:tc>
      </w:tr>
      <w:tr w14:paraId="3A90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restart"/>
            <w:tcBorders>
              <w:tl2br w:val="nil"/>
              <w:tr2bl w:val="nil"/>
            </w:tcBorders>
            <w:shd w:val="clear" w:color="auto" w:fill="auto"/>
            <w:vAlign w:val="center"/>
          </w:tcPr>
          <w:p w14:paraId="17C89B99">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1</w:t>
            </w:r>
          </w:p>
        </w:tc>
        <w:tc>
          <w:tcPr>
            <w:tcW w:w="326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47933B7">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价格</w:t>
            </w:r>
          </w:p>
        </w:tc>
        <w:tc>
          <w:tcPr>
            <w:tcW w:w="51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606848">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10</w:t>
            </w:r>
          </w:p>
        </w:tc>
      </w:tr>
      <w:tr w14:paraId="2D46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restart"/>
            <w:tcBorders>
              <w:tl2br w:val="nil"/>
              <w:tr2bl w:val="nil"/>
            </w:tcBorders>
            <w:shd w:val="clear" w:color="auto" w:fill="auto"/>
            <w:vAlign w:val="center"/>
          </w:tcPr>
          <w:p w14:paraId="31DDD4E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p>
        </w:tc>
        <w:tc>
          <w:tcPr>
            <w:tcW w:w="3269" w:type="dxa"/>
            <w:gridSpan w:val="3"/>
            <w:tcBorders>
              <w:top w:val="nil"/>
              <w:left w:val="nil"/>
              <w:bottom w:val="nil"/>
              <w:right w:val="nil"/>
              <w:tl2br w:val="nil"/>
              <w:tr2bl w:val="nil"/>
            </w:tcBorders>
            <w:shd w:val="clear" w:color="auto" w:fill="auto"/>
            <w:vAlign w:val="center"/>
          </w:tcPr>
          <w:p w14:paraId="4A1EC5B2">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技术部分</w:t>
            </w:r>
          </w:p>
        </w:tc>
        <w:tc>
          <w:tcPr>
            <w:tcW w:w="5127" w:type="dxa"/>
            <w:tcBorders>
              <w:top w:val="nil"/>
              <w:left w:val="nil"/>
              <w:bottom w:val="nil"/>
              <w:right w:val="nil"/>
              <w:tl2br w:val="nil"/>
              <w:tr2bl w:val="nil"/>
            </w:tcBorders>
            <w:shd w:val="clear" w:color="auto" w:fill="auto"/>
            <w:vAlign w:val="center"/>
          </w:tcPr>
          <w:p w14:paraId="0FB0D0B3">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55</w:t>
            </w:r>
          </w:p>
        </w:tc>
      </w:tr>
      <w:tr w14:paraId="4B84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continue"/>
            <w:tcBorders>
              <w:tl2br w:val="nil"/>
              <w:tr2bl w:val="nil"/>
            </w:tcBorders>
            <w:shd w:val="clear" w:color="auto" w:fill="auto"/>
            <w:vAlign w:val="center"/>
          </w:tcPr>
          <w:p w14:paraId="78DC11DD">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01F7FD22">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304" w:type="dxa"/>
            <w:tcBorders>
              <w:tl2br w:val="nil"/>
              <w:tr2bl w:val="nil"/>
            </w:tcBorders>
            <w:shd w:val="clear" w:color="auto" w:fill="auto"/>
            <w:vAlign w:val="center"/>
          </w:tcPr>
          <w:p w14:paraId="1E517851">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评审因素</w:t>
            </w:r>
          </w:p>
        </w:tc>
        <w:tc>
          <w:tcPr>
            <w:tcW w:w="1290" w:type="dxa"/>
            <w:tcBorders>
              <w:tl2br w:val="nil"/>
              <w:tr2bl w:val="nil"/>
            </w:tcBorders>
            <w:shd w:val="clear" w:color="auto" w:fill="auto"/>
            <w:vAlign w:val="center"/>
          </w:tcPr>
          <w:p w14:paraId="025D0DCA">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权重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w:t>
            </w:r>
          </w:p>
        </w:tc>
        <w:tc>
          <w:tcPr>
            <w:tcW w:w="5127" w:type="dxa"/>
            <w:tcBorders>
              <w:tl2br w:val="nil"/>
              <w:tr2bl w:val="nil"/>
            </w:tcBorders>
            <w:shd w:val="clear" w:color="auto" w:fill="auto"/>
            <w:vAlign w:val="center"/>
          </w:tcPr>
          <w:p w14:paraId="654F313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评分准则</w:t>
            </w:r>
          </w:p>
        </w:tc>
      </w:tr>
      <w:tr w14:paraId="51B6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continue"/>
            <w:tcBorders>
              <w:tl2br w:val="nil"/>
              <w:tr2bl w:val="nil"/>
            </w:tcBorders>
            <w:shd w:val="clear" w:color="auto" w:fill="auto"/>
            <w:vAlign w:val="center"/>
          </w:tcPr>
          <w:p w14:paraId="6D1E2E02">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FDC">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6827">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实施方案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B53B">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0B2">
            <w:pPr>
              <w:wordWrap w:val="0"/>
              <w:spacing w:line="240" w:lineRule="exact"/>
              <w:ind w:right="0" w:rightChars="0"/>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lang w:val="en-US" w:eastAsia="zh-CN"/>
              </w:rPr>
              <w:t>一</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评分内容：</w:t>
            </w:r>
          </w:p>
          <w:p w14:paraId="22E98E27">
            <w:pPr>
              <w:wordWrap w:val="0"/>
              <w:spacing w:line="240" w:lineRule="exact"/>
              <w:ind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根据投标人提供的方案进行评审，内容包括但不限于</w:t>
            </w:r>
            <w:r>
              <w:rPr>
                <w:rFonts w:hint="eastAsia" w:ascii="仿宋_GB2312" w:hAnsi="仿宋_GB2312" w:eastAsia="仿宋_GB2312" w:cs="仿宋_GB2312"/>
                <w:color w:val="auto"/>
                <w:szCs w:val="21"/>
                <w:highlight w:val="none"/>
                <w:lang w:eastAsia="zh-CN"/>
              </w:rPr>
              <w:t>以下方面</w:t>
            </w:r>
            <w:r>
              <w:rPr>
                <w:rFonts w:hint="eastAsia" w:ascii="仿宋_GB2312" w:hAnsi="仿宋_GB2312" w:eastAsia="仿宋_GB2312" w:cs="仿宋_GB2312"/>
                <w:color w:val="auto"/>
                <w:szCs w:val="21"/>
                <w:highlight w:val="none"/>
              </w:rPr>
              <w:t>：</w:t>
            </w:r>
          </w:p>
          <w:p w14:paraId="1B106FDC">
            <w:pPr>
              <w:wordWrap w:val="0"/>
              <w:spacing w:line="240" w:lineRule="exact"/>
              <w:ind w:left="0" w:leftChars="0"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项目实施理念及目标；</w:t>
            </w:r>
          </w:p>
          <w:p w14:paraId="2276B6F3">
            <w:pPr>
              <w:wordWrap w:val="0"/>
              <w:spacing w:line="240" w:lineRule="exact"/>
              <w:ind w:left="0" w:leftChars="0"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项目实施流程及内容；</w:t>
            </w:r>
          </w:p>
          <w:p w14:paraId="40D2A90A">
            <w:pPr>
              <w:wordWrap w:val="0"/>
              <w:spacing w:line="240" w:lineRule="exact"/>
              <w:ind w:left="0" w:leftChars="0"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项目专业团队匹配；</w:t>
            </w:r>
          </w:p>
          <w:p w14:paraId="5D1E8200">
            <w:pPr>
              <w:wordWrap w:val="0"/>
              <w:spacing w:line="240" w:lineRule="exact"/>
              <w:ind w:left="0" w:leftChars="0"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项目其他支持；</w:t>
            </w:r>
          </w:p>
          <w:p w14:paraId="20719876">
            <w:pPr>
              <w:wordWrap w:val="0"/>
              <w:spacing w:line="240" w:lineRule="exact"/>
              <w:ind w:left="0" w:leftChars="0" w:right="0" w:right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项目管理措施。</w:t>
            </w:r>
          </w:p>
          <w:p w14:paraId="2F4827A6">
            <w:pPr>
              <w:wordWrap w:val="0"/>
              <w:spacing w:line="240" w:lineRule="exact"/>
              <w:ind w:right="0" w:rightChars="0"/>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lang w:val="en-US" w:eastAsia="zh-CN"/>
              </w:rPr>
              <w:t>二</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评审标准：</w:t>
            </w:r>
          </w:p>
          <w:p w14:paraId="178A401E">
            <w:pPr>
              <w:wordWrap w:val="0"/>
              <w:spacing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提供的方案满足以上五点的得</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分，满足任意四点的得</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分，满足任意三点的得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两点</w:t>
            </w:r>
            <w:r>
              <w:rPr>
                <w:rFonts w:hint="eastAsia" w:ascii="仿宋_GB2312" w:hAnsi="仿宋_GB2312" w:eastAsia="仿宋_GB2312" w:cs="仿宋_GB2312"/>
                <w:color w:val="auto"/>
                <w:szCs w:val="21"/>
                <w:highlight w:val="none"/>
                <w:lang w:val="en-US" w:eastAsia="zh-CN"/>
              </w:rPr>
              <w:t>及以下</w:t>
            </w:r>
            <w:r>
              <w:rPr>
                <w:rFonts w:hint="eastAsia" w:ascii="仿宋_GB2312" w:hAnsi="仿宋_GB2312" w:eastAsia="仿宋_GB2312" w:cs="仿宋_GB2312"/>
                <w:color w:val="auto"/>
                <w:szCs w:val="21"/>
                <w:highlight w:val="none"/>
              </w:rPr>
              <w:t>不得分。</w:t>
            </w:r>
          </w:p>
          <w:p w14:paraId="7F678DD0">
            <w:pPr>
              <w:wordWrap w:val="0"/>
              <w:spacing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在此基础上，根据各供应商的具体响应内容按照量化的评审因素指标进一步评审：</w:t>
            </w:r>
          </w:p>
          <w:p w14:paraId="670DA864">
            <w:pPr>
              <w:wordWrap w:val="0"/>
              <w:spacing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内容科学性、合理性、可操作性强的评价为优得</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14:paraId="65AE1C9C">
            <w:pPr>
              <w:wordWrap w:val="0"/>
              <w:spacing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内容科学性、合理性、可操作性比较强的评价为良得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14:paraId="709D3087">
            <w:pPr>
              <w:wordWrap w:val="0"/>
              <w:spacing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内容科学性、合理性、可操作性一般的评价为中得</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p>
          <w:p w14:paraId="5082AF2A">
            <w:pPr>
              <w:keepNext w:val="0"/>
              <w:keepLines w:val="0"/>
              <w:pageBreakBefore w:val="0"/>
              <w:numPr>
                <w:ilvl w:val="-1"/>
                <w:numId w:val="0"/>
              </w:numPr>
              <w:kinsoku/>
              <w:wordWrap w:val="0"/>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内容科学性、合理性、可操作性差或未提供的评价为差</w:t>
            </w:r>
            <w:r>
              <w:rPr>
                <w:rFonts w:hint="eastAsia" w:ascii="仿宋_GB2312" w:hAnsi="仿宋_GB2312" w:eastAsia="仿宋_GB2312" w:cs="仿宋_GB2312"/>
                <w:color w:val="auto"/>
                <w:szCs w:val="21"/>
                <w:highlight w:val="none"/>
                <w:lang w:eastAsia="zh-CN"/>
              </w:rPr>
              <w:t>，不</w:t>
            </w:r>
            <w:r>
              <w:rPr>
                <w:rFonts w:hint="eastAsia" w:ascii="仿宋_GB2312" w:hAnsi="仿宋_GB2312" w:eastAsia="仿宋_GB2312" w:cs="仿宋_GB2312"/>
                <w:color w:val="auto"/>
                <w:szCs w:val="21"/>
                <w:highlight w:val="none"/>
              </w:rPr>
              <w:t>得分。</w:t>
            </w:r>
          </w:p>
          <w:p w14:paraId="5344D4C6">
            <w:pPr>
              <w:keepNext w:val="0"/>
              <w:keepLines w:val="0"/>
              <w:pageBreakBefore w:val="0"/>
              <w:numPr>
                <w:ilvl w:val="-1"/>
                <w:numId w:val="0"/>
              </w:numPr>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Cs w:val="21"/>
                <w:highlight w:val="none"/>
              </w:rPr>
              <w:t>本项最高得</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分，未按要求提供或提供不清晰导致评审无法判别的不得分。</w:t>
            </w:r>
          </w:p>
        </w:tc>
      </w:tr>
      <w:tr w14:paraId="0F1A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76" w:type="dxa"/>
            <w:vMerge w:val="continue"/>
            <w:tcBorders>
              <w:tl2br w:val="nil"/>
              <w:tr2bl w:val="nil"/>
            </w:tcBorders>
            <w:shd w:val="clear" w:color="auto" w:fill="auto"/>
            <w:vAlign w:val="center"/>
          </w:tcPr>
          <w:p w14:paraId="7BAFEF8C">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36EC9F58">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2</w:t>
            </w:r>
          </w:p>
        </w:tc>
        <w:tc>
          <w:tcPr>
            <w:tcW w:w="1304" w:type="dxa"/>
            <w:tcBorders>
              <w:tl2br w:val="nil"/>
              <w:tr2bl w:val="nil"/>
            </w:tcBorders>
            <w:shd w:val="clear" w:color="auto" w:fill="auto"/>
            <w:vAlign w:val="center"/>
          </w:tcPr>
          <w:p w14:paraId="02683424">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项目重点难点分析、应对措施及相关的合理化建议</w:t>
            </w:r>
          </w:p>
        </w:tc>
        <w:tc>
          <w:tcPr>
            <w:tcW w:w="1290" w:type="dxa"/>
            <w:tcBorders>
              <w:tl2br w:val="nil"/>
              <w:tr2bl w:val="nil"/>
            </w:tcBorders>
            <w:shd w:val="clear" w:color="auto" w:fill="auto"/>
            <w:vAlign w:val="center"/>
          </w:tcPr>
          <w:p w14:paraId="16F36F9E">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5127" w:type="dxa"/>
            <w:tcBorders>
              <w:tl2br w:val="nil"/>
              <w:tr2bl w:val="nil"/>
            </w:tcBorders>
            <w:shd w:val="clear" w:color="auto" w:fill="auto"/>
            <w:vAlign w:val="center"/>
          </w:tcPr>
          <w:p w14:paraId="2C2666F9">
            <w:pPr>
              <w:keepNext w:val="0"/>
              <w:keepLines w:val="0"/>
              <w:pageBreakBefore w:val="0"/>
              <w:numPr>
                <w:ilvl w:val="-1"/>
                <w:numId w:val="0"/>
              </w:numPr>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一</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评分内容：</w:t>
            </w:r>
          </w:p>
          <w:p w14:paraId="727B68FC">
            <w:pPr>
              <w:keepNext w:val="0"/>
              <w:keepLines w:val="0"/>
              <w:pageBreakBefore w:val="0"/>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考察投标人针对监测数据采集、</w:t>
            </w:r>
            <w:r>
              <w:rPr>
                <w:rFonts w:hint="eastAsia" w:ascii="仿宋_GB2312" w:hAnsi="仿宋_GB2312" w:eastAsia="仿宋_GB2312" w:cs="仿宋_GB2312"/>
                <w:color w:val="auto"/>
                <w:szCs w:val="21"/>
                <w:highlight w:val="none"/>
                <w:lang w:val="en-US" w:eastAsia="zh-CN"/>
              </w:rPr>
              <w:t>网络信息报告、热点事件分析研判等</w:t>
            </w:r>
            <w:r>
              <w:rPr>
                <w:rFonts w:hint="eastAsia" w:ascii="仿宋_GB2312" w:hAnsi="仿宋_GB2312" w:eastAsia="仿宋_GB2312" w:cs="仿宋_GB2312"/>
                <w:color w:val="auto"/>
                <w:sz w:val="21"/>
                <w:szCs w:val="21"/>
                <w:highlight w:val="none"/>
                <w:lang w:val="en-US" w:eastAsia="zh-CN"/>
              </w:rPr>
              <w:t>重点难点</w:t>
            </w:r>
            <w:r>
              <w:rPr>
                <w:rFonts w:hint="eastAsia" w:ascii="仿宋_GB2312" w:hAnsi="仿宋_GB2312" w:eastAsia="仿宋_GB2312" w:cs="仿宋_GB2312"/>
                <w:color w:val="auto"/>
                <w:szCs w:val="21"/>
                <w:highlight w:val="none"/>
                <w:lang w:val="en-US" w:eastAsia="zh-CN"/>
              </w:rPr>
              <w:t>内容进行</w:t>
            </w:r>
            <w:r>
              <w:rPr>
                <w:rFonts w:hint="eastAsia" w:ascii="仿宋_GB2312" w:hAnsi="仿宋_GB2312" w:eastAsia="仿宋_GB2312" w:cs="仿宋_GB2312"/>
                <w:color w:val="auto"/>
                <w:sz w:val="21"/>
                <w:szCs w:val="21"/>
                <w:highlight w:val="none"/>
                <w:lang w:val="en-US" w:eastAsia="zh-CN"/>
              </w:rPr>
              <w:t>分析，并给出相关的应对措施、合理化建议，包含以下内容：</w:t>
            </w:r>
          </w:p>
          <w:p w14:paraId="2FAA8E24">
            <w:pPr>
              <w:keepNext w:val="0"/>
              <w:keepLines w:val="0"/>
              <w:pageBreakBefore w:val="0"/>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1.项目重点难点分析；</w:t>
            </w:r>
          </w:p>
          <w:p w14:paraId="67AFC293">
            <w:pPr>
              <w:keepNext w:val="0"/>
              <w:keepLines w:val="0"/>
              <w:pageBreakBefore w:val="0"/>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2.针对项目重点难点逐项提出应对措施；</w:t>
            </w:r>
          </w:p>
          <w:p w14:paraId="02F9B0AC">
            <w:pPr>
              <w:keepNext w:val="0"/>
              <w:keepLines w:val="0"/>
              <w:pageBreakBefore w:val="0"/>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3.相关的合理化建议。</w:t>
            </w:r>
          </w:p>
          <w:p w14:paraId="32D88029">
            <w:pPr>
              <w:pStyle w:val="8"/>
              <w:widowControl/>
              <w:snapToGri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（二）评分标准：</w:t>
            </w:r>
          </w:p>
          <w:p w14:paraId="2F4EBB13">
            <w:pPr>
              <w:pStyle w:val="8"/>
              <w:spacing w:line="240" w:lineRule="exact"/>
              <w:ind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包含以上三项内容得6分；包含</w:t>
            </w:r>
            <w:r>
              <w:rPr>
                <w:rFonts w:hint="eastAsia" w:ascii="仿宋_GB2312" w:hAnsi="仿宋_GB2312" w:eastAsia="仿宋_GB2312" w:cs="仿宋_GB2312"/>
                <w:color w:val="auto"/>
                <w:szCs w:val="21"/>
                <w:highlight w:val="none"/>
                <w:lang w:eastAsia="zh-CN"/>
              </w:rPr>
              <w:t>以上两项</w:t>
            </w:r>
            <w:r>
              <w:rPr>
                <w:rFonts w:hint="eastAsia" w:ascii="仿宋_GB2312" w:hAnsi="仿宋_GB2312" w:eastAsia="仿宋_GB2312" w:cs="仿宋_GB2312"/>
                <w:color w:val="auto"/>
                <w:szCs w:val="21"/>
                <w:highlight w:val="none"/>
              </w:rPr>
              <w:t>内容得4分；包含以上一项内容得2分；其他情况不得分。</w:t>
            </w:r>
          </w:p>
          <w:p w14:paraId="6A907AA0">
            <w:pPr>
              <w:pStyle w:val="8"/>
              <w:spacing w:line="240" w:lineRule="exact"/>
              <w:ind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在此基础上，根据方案响应情况进一步评审：</w:t>
            </w:r>
          </w:p>
          <w:p w14:paraId="7CFA78FA">
            <w:pPr>
              <w:pStyle w:val="8"/>
              <w:spacing w:line="240" w:lineRule="exact"/>
              <w:ind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kern w:val="0"/>
                <w:szCs w:val="21"/>
                <w:highlight w:val="none"/>
              </w:rPr>
              <w:t>重点难点分析全面，应对措施可行性高，相关建议科学合理的</w:t>
            </w:r>
            <w:r>
              <w:rPr>
                <w:rFonts w:hint="eastAsia" w:ascii="仿宋_GB2312" w:hAnsi="仿宋_GB2312" w:eastAsia="仿宋_GB2312" w:cs="仿宋_GB2312"/>
                <w:color w:val="auto"/>
                <w:szCs w:val="21"/>
                <w:highlight w:val="none"/>
              </w:rPr>
              <w:t>，加</w:t>
            </w: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分；</w:t>
            </w:r>
          </w:p>
          <w:p w14:paraId="7032A541">
            <w:pPr>
              <w:pStyle w:val="8"/>
              <w:spacing w:line="240" w:lineRule="exact"/>
              <w:ind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kern w:val="0"/>
                <w:szCs w:val="21"/>
                <w:highlight w:val="none"/>
              </w:rPr>
              <w:t>重点难点分析比较全面，应对措施可行性较高，相关建议比较合理的</w:t>
            </w:r>
            <w:r>
              <w:rPr>
                <w:rFonts w:hint="eastAsia" w:ascii="仿宋_GB2312" w:hAnsi="仿宋_GB2312" w:eastAsia="仿宋_GB2312" w:cs="仿宋_GB2312"/>
                <w:color w:val="auto"/>
                <w:szCs w:val="21"/>
                <w:highlight w:val="none"/>
              </w:rPr>
              <w:t>，加</w:t>
            </w:r>
            <w:r>
              <w:rPr>
                <w:rFonts w:hint="eastAsia" w:ascii="仿宋_GB2312" w:hAnsi="仿宋_GB2312" w:eastAsia="仿宋_GB2312" w:cs="仿宋_GB2312"/>
                <w:color w:val="auto"/>
                <w:szCs w:val="21"/>
                <w:highlight w:val="none"/>
                <w:lang w:eastAsia="zh-CN"/>
              </w:rPr>
              <w:t>2</w:t>
            </w:r>
            <w:r>
              <w:rPr>
                <w:rFonts w:hint="eastAsia" w:ascii="仿宋_GB2312" w:hAnsi="仿宋_GB2312" w:eastAsia="仿宋_GB2312" w:cs="仿宋_GB2312"/>
                <w:color w:val="auto"/>
                <w:szCs w:val="21"/>
                <w:highlight w:val="none"/>
              </w:rPr>
              <w:t>分；</w:t>
            </w:r>
          </w:p>
          <w:p w14:paraId="7BAE1CB0">
            <w:pPr>
              <w:pStyle w:val="8"/>
              <w:spacing w:line="240" w:lineRule="exact"/>
              <w:ind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kern w:val="0"/>
                <w:szCs w:val="21"/>
                <w:highlight w:val="none"/>
              </w:rPr>
              <w:t>重点难点分析全面</w:t>
            </w:r>
            <w:r>
              <w:rPr>
                <w:rFonts w:hint="eastAsia" w:ascii="仿宋_GB2312" w:hAnsi="仿宋_GB2312" w:eastAsia="仿宋_GB2312" w:cs="仿宋_GB2312"/>
                <w:color w:val="auto"/>
                <w:kern w:val="0"/>
                <w:szCs w:val="21"/>
                <w:highlight w:val="none"/>
                <w:lang w:val="en-US" w:eastAsia="zh-CN"/>
              </w:rPr>
              <w:t>性一般</w:t>
            </w:r>
            <w:r>
              <w:rPr>
                <w:rFonts w:hint="eastAsia" w:ascii="仿宋_GB2312" w:hAnsi="仿宋_GB2312" w:eastAsia="仿宋_GB2312" w:cs="仿宋_GB2312"/>
                <w:color w:val="auto"/>
                <w:kern w:val="0"/>
                <w:szCs w:val="21"/>
                <w:highlight w:val="none"/>
              </w:rPr>
              <w:t>，应对措施可行性一般，相关建议</w:t>
            </w:r>
            <w:r>
              <w:rPr>
                <w:rFonts w:hint="eastAsia" w:ascii="仿宋_GB2312" w:hAnsi="仿宋_GB2312" w:eastAsia="仿宋_GB2312" w:cs="仿宋_GB2312"/>
                <w:color w:val="auto"/>
                <w:kern w:val="0"/>
                <w:szCs w:val="21"/>
                <w:highlight w:val="none"/>
                <w:lang w:val="en-US" w:eastAsia="zh-CN"/>
              </w:rPr>
              <w:t>合理性一般</w:t>
            </w:r>
            <w:r>
              <w:rPr>
                <w:rFonts w:hint="eastAsia" w:ascii="仿宋_GB2312" w:hAnsi="仿宋_GB2312" w:eastAsia="仿宋_GB2312" w:cs="仿宋_GB2312"/>
                <w:color w:val="auto"/>
                <w:szCs w:val="21"/>
                <w:highlight w:val="none"/>
              </w:rPr>
              <w:t>，加</w:t>
            </w: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rPr>
              <w:t>分；</w:t>
            </w:r>
          </w:p>
          <w:p w14:paraId="19700FC9">
            <w:pPr>
              <w:keepNext w:val="0"/>
              <w:keepLines w:val="0"/>
              <w:pageBreakBefore w:val="0"/>
              <w:kinsoku/>
              <w:wordWrap w:val="0"/>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kern w:val="0"/>
                <w:szCs w:val="21"/>
                <w:highlight w:val="none"/>
              </w:rPr>
              <w:t>重点难点分析不全面，应对措施可行性低，相关建议不合理的</w:t>
            </w:r>
            <w:r>
              <w:rPr>
                <w:rFonts w:hint="eastAsia" w:ascii="仿宋_GB2312" w:hAnsi="仿宋_GB2312" w:eastAsia="仿宋_GB2312" w:cs="仿宋_GB2312"/>
                <w:color w:val="auto"/>
                <w:szCs w:val="21"/>
                <w:highlight w:val="none"/>
              </w:rPr>
              <w:t>，不加分。</w:t>
            </w:r>
          </w:p>
        </w:tc>
      </w:tr>
      <w:tr w14:paraId="115B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76" w:type="dxa"/>
            <w:vMerge w:val="continue"/>
            <w:tcBorders>
              <w:tl2br w:val="nil"/>
              <w:tr2bl w:val="nil"/>
            </w:tcBorders>
            <w:shd w:val="clear" w:color="auto" w:fill="auto"/>
            <w:vAlign w:val="center"/>
          </w:tcPr>
          <w:p w14:paraId="039FA91B">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77F56182">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304" w:type="dxa"/>
            <w:tcBorders>
              <w:tl2br w:val="nil"/>
              <w:tr2bl w:val="nil"/>
            </w:tcBorders>
            <w:shd w:val="clear" w:color="auto" w:fill="auto"/>
            <w:vAlign w:val="center"/>
          </w:tcPr>
          <w:p w14:paraId="4B495127">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质量、安全保障措施及方案</w:t>
            </w:r>
          </w:p>
        </w:tc>
        <w:tc>
          <w:tcPr>
            <w:tcW w:w="1290" w:type="dxa"/>
            <w:tcBorders>
              <w:tl2br w:val="nil"/>
              <w:tr2bl w:val="nil"/>
            </w:tcBorders>
            <w:shd w:val="clear" w:color="auto" w:fill="auto"/>
            <w:vAlign w:val="center"/>
          </w:tcPr>
          <w:p w14:paraId="4A8CEFE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5127" w:type="dxa"/>
            <w:tcBorders>
              <w:tl2br w:val="nil"/>
              <w:tr2bl w:val="nil"/>
            </w:tcBorders>
            <w:shd w:val="clear" w:color="auto" w:fill="auto"/>
            <w:vAlign w:val="center"/>
          </w:tcPr>
          <w:p w14:paraId="22F5418F">
            <w:pPr>
              <w:pStyle w:val="8"/>
              <w:spacing w:line="240" w:lineRule="exact"/>
              <w:ind w:firstLineChars="0"/>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（一）评</w:t>
            </w:r>
            <w:r>
              <w:rPr>
                <w:rFonts w:hint="eastAsia" w:ascii="仿宋_GB2312" w:hAnsi="仿宋_GB2312" w:eastAsia="仿宋_GB2312" w:cs="仿宋_GB2312"/>
                <w:b w:val="0"/>
                <w:bCs w:val="0"/>
                <w:color w:val="auto"/>
                <w:szCs w:val="21"/>
                <w:highlight w:val="none"/>
                <w:lang w:val="en-US" w:eastAsia="zh-CN"/>
              </w:rPr>
              <w:t>审</w:t>
            </w:r>
            <w:r>
              <w:rPr>
                <w:rFonts w:hint="eastAsia" w:ascii="仿宋_GB2312" w:hAnsi="仿宋_GB2312" w:eastAsia="仿宋_GB2312" w:cs="仿宋_GB2312"/>
                <w:b w:val="0"/>
                <w:bCs w:val="0"/>
                <w:color w:val="auto"/>
                <w:szCs w:val="21"/>
                <w:highlight w:val="none"/>
              </w:rPr>
              <w:t>内容：</w:t>
            </w:r>
          </w:p>
          <w:p w14:paraId="2A8A83C9">
            <w:pPr>
              <w:pStyle w:val="8"/>
              <w:autoSpaceDE w:val="0"/>
              <w:autoSpaceDN w:val="0"/>
              <w:adjustRightIn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考察投标人提供的</w:t>
            </w:r>
            <w:r>
              <w:rPr>
                <w:rFonts w:hint="eastAsia" w:ascii="仿宋_GB2312" w:hAnsi="仿宋_GB2312" w:eastAsia="仿宋_GB2312" w:cs="仿宋_GB2312"/>
                <w:b w:val="0"/>
                <w:bCs w:val="0"/>
                <w:color w:val="auto"/>
                <w:szCs w:val="21"/>
                <w:highlight w:val="none"/>
              </w:rPr>
              <w:t>质量保障措施及方案</w:t>
            </w:r>
            <w:r>
              <w:rPr>
                <w:rFonts w:hint="eastAsia" w:ascii="仿宋_GB2312" w:hAnsi="仿宋_GB2312" w:eastAsia="仿宋_GB2312" w:cs="仿宋_GB2312"/>
                <w:b w:val="0"/>
                <w:bCs w:val="0"/>
                <w:color w:val="auto"/>
                <w:kern w:val="0"/>
                <w:szCs w:val="21"/>
                <w:highlight w:val="none"/>
              </w:rPr>
              <w:t>，包含以下内容：</w:t>
            </w:r>
          </w:p>
          <w:p w14:paraId="7FF22B07">
            <w:pPr>
              <w:pStyle w:val="8"/>
              <w:autoSpaceDE w:val="0"/>
              <w:autoSpaceDN w:val="0"/>
              <w:adjustRightIn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w:t>
            </w:r>
            <w:r>
              <w:rPr>
                <w:rFonts w:hint="eastAsia" w:ascii="仿宋_GB2312" w:hAnsi="仿宋_GB2312" w:eastAsia="仿宋_GB2312" w:cs="仿宋_GB2312"/>
                <w:b w:val="0"/>
                <w:bCs w:val="0"/>
                <w:color w:val="auto"/>
                <w:szCs w:val="21"/>
                <w:highlight w:val="none"/>
              </w:rPr>
              <w:t>质量保障措施及方案</w:t>
            </w:r>
            <w:r>
              <w:rPr>
                <w:rFonts w:hint="eastAsia" w:ascii="仿宋_GB2312" w:hAnsi="仿宋_GB2312" w:eastAsia="仿宋_GB2312" w:cs="仿宋_GB2312"/>
                <w:b w:val="0"/>
                <w:bCs w:val="0"/>
                <w:color w:val="auto"/>
                <w:kern w:val="0"/>
                <w:szCs w:val="21"/>
                <w:highlight w:val="none"/>
              </w:rPr>
              <w:t>；</w:t>
            </w:r>
          </w:p>
          <w:p w14:paraId="694C368B">
            <w:pPr>
              <w:pStyle w:val="8"/>
              <w:autoSpaceDE w:val="0"/>
              <w:autoSpaceDN w:val="0"/>
              <w:adjustRightIn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2.</w:t>
            </w:r>
            <w:r>
              <w:rPr>
                <w:rFonts w:hint="eastAsia" w:ascii="仿宋_GB2312" w:hAnsi="仿宋_GB2312" w:eastAsia="仿宋_GB2312" w:cs="仿宋_GB2312"/>
                <w:b w:val="0"/>
                <w:bCs w:val="0"/>
                <w:color w:val="auto"/>
                <w:kern w:val="0"/>
                <w:szCs w:val="21"/>
                <w:highlight w:val="none"/>
                <w:lang w:val="en-US" w:eastAsia="zh-CN"/>
              </w:rPr>
              <w:t>安全管理制度</w:t>
            </w:r>
            <w:r>
              <w:rPr>
                <w:rFonts w:hint="eastAsia" w:ascii="仿宋_GB2312" w:hAnsi="仿宋_GB2312" w:eastAsia="仿宋_GB2312" w:cs="仿宋_GB2312"/>
                <w:b w:val="0"/>
                <w:bCs w:val="0"/>
                <w:color w:val="auto"/>
                <w:kern w:val="0"/>
                <w:szCs w:val="21"/>
                <w:highlight w:val="none"/>
              </w:rPr>
              <w:t>。</w:t>
            </w:r>
          </w:p>
          <w:p w14:paraId="32A4EFAE">
            <w:pPr>
              <w:pStyle w:val="8"/>
              <w:widowControl/>
              <w:snapToGri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（二）评分标准：</w:t>
            </w:r>
          </w:p>
          <w:p w14:paraId="2721AEB4">
            <w:pPr>
              <w:pStyle w:val="8"/>
              <w:keepNext w:val="0"/>
              <w:keepLines w:val="0"/>
              <w:pageBreakBefore w:val="0"/>
              <w:kinsoku/>
              <w:wordWrap w:val="0"/>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Cs w:val="21"/>
                <w:highlight w:val="none"/>
              </w:rPr>
              <w:t>方案包含以上</w:t>
            </w:r>
            <w:r>
              <w:rPr>
                <w:rFonts w:hint="eastAsia" w:ascii="仿宋_GB2312" w:hAnsi="仿宋_GB2312" w:eastAsia="仿宋_GB2312" w:cs="仿宋_GB2312"/>
                <w:color w:val="auto"/>
                <w:szCs w:val="21"/>
                <w:highlight w:val="none"/>
                <w:lang w:val="en-US" w:eastAsia="zh-CN"/>
              </w:rPr>
              <w:t>两</w:t>
            </w:r>
            <w:r>
              <w:rPr>
                <w:rFonts w:hint="eastAsia" w:ascii="仿宋_GB2312" w:hAnsi="仿宋_GB2312" w:eastAsia="仿宋_GB2312" w:cs="仿宋_GB2312"/>
                <w:color w:val="auto"/>
                <w:szCs w:val="21"/>
                <w:highlight w:val="none"/>
              </w:rPr>
              <w:t>项内容得</w:t>
            </w:r>
            <w:r>
              <w:rPr>
                <w:rFonts w:hint="eastAsia" w:ascii="仿宋_GB2312" w:hAnsi="仿宋_GB2312" w:eastAsia="仿宋_GB2312" w:cs="仿宋_GB2312"/>
                <w:color w:val="auto"/>
                <w:sz w:val="21"/>
                <w:szCs w:val="21"/>
                <w:highlight w:val="none"/>
                <w:lang w:eastAsia="zh-CN"/>
              </w:rPr>
              <w:t>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Cs w:val="21"/>
                <w:highlight w:val="none"/>
              </w:rPr>
              <w:t>其他情况不得分。</w:t>
            </w:r>
          </w:p>
        </w:tc>
      </w:tr>
      <w:tr w14:paraId="29F4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continue"/>
            <w:tcBorders>
              <w:tl2br w:val="nil"/>
              <w:tr2bl w:val="nil"/>
            </w:tcBorders>
            <w:shd w:val="clear" w:color="auto" w:fill="auto"/>
            <w:vAlign w:val="center"/>
          </w:tcPr>
          <w:p w14:paraId="3629C91E">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7E50944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304" w:type="dxa"/>
            <w:tcBorders>
              <w:tl2br w:val="nil"/>
              <w:tr2bl w:val="nil"/>
            </w:tcBorders>
            <w:shd w:val="clear" w:color="auto" w:fill="auto"/>
            <w:vAlign w:val="center"/>
          </w:tcPr>
          <w:p w14:paraId="5C70FCB3">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项目完成（服务期满）后的服务承诺</w:t>
            </w:r>
          </w:p>
        </w:tc>
        <w:tc>
          <w:tcPr>
            <w:tcW w:w="1290" w:type="dxa"/>
            <w:tcBorders>
              <w:tl2br w:val="nil"/>
              <w:tr2bl w:val="nil"/>
            </w:tcBorders>
            <w:shd w:val="clear" w:color="auto" w:fill="auto"/>
            <w:vAlign w:val="center"/>
          </w:tcPr>
          <w:p w14:paraId="03129EBC">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Cs w:val="21"/>
                <w:highlight w:val="none"/>
                <w:lang w:val="en-US" w:eastAsia="zh-CN"/>
              </w:rPr>
              <w:t>5</w:t>
            </w:r>
          </w:p>
        </w:tc>
        <w:tc>
          <w:tcPr>
            <w:tcW w:w="5127" w:type="dxa"/>
            <w:tcBorders>
              <w:tl2br w:val="nil"/>
              <w:tr2bl w:val="nil"/>
            </w:tcBorders>
            <w:shd w:val="clear" w:color="auto" w:fill="auto"/>
            <w:vAlign w:val="center"/>
          </w:tcPr>
          <w:p w14:paraId="13BB2E4A">
            <w:pPr>
              <w:pStyle w:val="8"/>
              <w:spacing w:line="240" w:lineRule="exact"/>
              <w:ind w:firstLineChars="0"/>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（一）评</w:t>
            </w:r>
            <w:r>
              <w:rPr>
                <w:rFonts w:hint="eastAsia" w:ascii="仿宋_GB2312" w:hAnsi="仿宋_GB2312" w:eastAsia="仿宋_GB2312" w:cs="仿宋_GB2312"/>
                <w:b w:val="0"/>
                <w:bCs w:val="0"/>
                <w:color w:val="auto"/>
                <w:szCs w:val="21"/>
                <w:highlight w:val="none"/>
                <w:lang w:val="en-US" w:eastAsia="zh-CN"/>
              </w:rPr>
              <w:t>审</w:t>
            </w:r>
            <w:r>
              <w:rPr>
                <w:rFonts w:hint="eastAsia" w:ascii="仿宋_GB2312" w:hAnsi="仿宋_GB2312" w:eastAsia="仿宋_GB2312" w:cs="仿宋_GB2312"/>
                <w:b w:val="0"/>
                <w:bCs w:val="0"/>
                <w:color w:val="auto"/>
                <w:szCs w:val="21"/>
                <w:highlight w:val="none"/>
              </w:rPr>
              <w:t>内容：</w:t>
            </w:r>
          </w:p>
          <w:p w14:paraId="340AF0F0">
            <w:pPr>
              <w:pStyle w:val="8"/>
              <w:autoSpaceDE w:val="0"/>
              <w:autoSpaceDN w:val="0"/>
              <w:adjustRightInd/>
              <w:spacing w:line="240" w:lineRule="exact"/>
              <w:jc w:val="both"/>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考察投标人提供的</w:t>
            </w:r>
            <w:r>
              <w:rPr>
                <w:rFonts w:hint="eastAsia" w:ascii="仿宋_GB2312" w:hAnsi="仿宋_GB2312" w:eastAsia="仿宋_GB2312" w:cs="仿宋_GB2312"/>
                <w:color w:val="auto"/>
                <w:szCs w:val="21"/>
                <w:highlight w:val="none"/>
              </w:rPr>
              <w:t>项目完成后的</w:t>
            </w:r>
            <w:r>
              <w:rPr>
                <w:rFonts w:hint="eastAsia" w:ascii="仿宋_GB2312" w:hAnsi="仿宋_GB2312" w:eastAsia="仿宋_GB2312" w:cs="仿宋_GB2312"/>
                <w:color w:val="auto"/>
                <w:sz w:val="21"/>
                <w:szCs w:val="21"/>
                <w:highlight w:val="none"/>
                <w:lang w:val="en-US" w:eastAsia="zh-CN"/>
              </w:rPr>
              <w:t>服务</w:t>
            </w:r>
            <w:r>
              <w:rPr>
                <w:rFonts w:hint="eastAsia" w:ascii="仿宋_GB2312" w:hAnsi="仿宋_GB2312" w:eastAsia="仿宋_GB2312" w:cs="仿宋_GB2312"/>
                <w:color w:val="auto"/>
                <w:szCs w:val="21"/>
                <w:highlight w:val="none"/>
              </w:rPr>
              <w:t>承诺</w:t>
            </w:r>
            <w:r>
              <w:rPr>
                <w:rFonts w:hint="eastAsia" w:ascii="仿宋_GB2312" w:hAnsi="仿宋_GB2312" w:eastAsia="仿宋_GB2312" w:cs="仿宋_GB2312"/>
                <w:color w:val="auto"/>
                <w:kern w:val="0"/>
                <w:szCs w:val="21"/>
                <w:highlight w:val="none"/>
              </w:rPr>
              <w:t>，包含以下内容：</w:t>
            </w:r>
          </w:p>
          <w:p w14:paraId="64DF5D4F">
            <w:pPr>
              <w:pStyle w:val="8"/>
              <w:autoSpaceDE w:val="0"/>
              <w:autoSpaceDN w:val="0"/>
              <w:adjustRightInd/>
              <w:spacing w:line="240" w:lineRule="exact"/>
              <w:jc w:val="both"/>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 w:val="21"/>
                <w:szCs w:val="21"/>
                <w:highlight w:val="none"/>
                <w:lang w:val="en-US" w:eastAsia="zh-CN"/>
              </w:rPr>
              <w:t>.</w:t>
            </w:r>
            <w:r>
              <w:rPr>
                <w:rFonts w:hint="eastAsia" w:ascii="仿宋_GB2312" w:hAnsi="仿宋_GB2312" w:eastAsia="仿宋_GB2312" w:cs="仿宋_GB2312"/>
                <w:color w:val="auto"/>
                <w:kern w:val="0"/>
                <w:szCs w:val="21"/>
                <w:highlight w:val="none"/>
              </w:rPr>
              <w:t>售后服务与支持；</w:t>
            </w:r>
          </w:p>
          <w:p w14:paraId="7FC9DDD5">
            <w:pPr>
              <w:pStyle w:val="8"/>
              <w:autoSpaceDE w:val="0"/>
              <w:autoSpaceDN w:val="0"/>
              <w:adjustRightInd/>
              <w:spacing w:line="240" w:lineRule="exact"/>
              <w:jc w:val="both"/>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Cs w:val="21"/>
                <w:highlight w:val="none"/>
                <w:lang w:val="en-US" w:eastAsia="zh-CN"/>
              </w:rPr>
              <w:t>项目完成质量保证</w:t>
            </w:r>
            <w:r>
              <w:rPr>
                <w:rFonts w:hint="eastAsia" w:ascii="仿宋_GB2312" w:hAnsi="仿宋_GB2312" w:eastAsia="仿宋_GB2312" w:cs="仿宋_GB2312"/>
                <w:color w:val="auto"/>
                <w:kern w:val="0"/>
                <w:sz w:val="21"/>
                <w:szCs w:val="21"/>
                <w:highlight w:val="none"/>
                <w:lang w:val="en-US" w:eastAsia="zh-CN"/>
              </w:rPr>
              <w:t>。</w:t>
            </w:r>
          </w:p>
          <w:p w14:paraId="52ACB49E">
            <w:pPr>
              <w:pStyle w:val="8"/>
              <w:widowControl/>
              <w:snapToGrid/>
              <w:spacing w:line="240" w:lineRule="exact"/>
              <w:jc w:val="both"/>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（二）评分标准：</w:t>
            </w:r>
          </w:p>
          <w:p w14:paraId="00FA0475">
            <w:pPr>
              <w:keepNext w:val="0"/>
              <w:keepLines w:val="0"/>
              <w:pageBreakBefore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lang w:val="en-US" w:eastAsia="zh-CN"/>
              </w:rPr>
              <w:t>提供以上两项承诺得5分，否则不得分。</w:t>
            </w:r>
          </w:p>
        </w:tc>
      </w:tr>
      <w:tr w14:paraId="6646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1471" w:hRule="atLeast"/>
          <w:tblCellSpacing w:w="0" w:type="dxa"/>
          <w:jc w:val="center"/>
        </w:trPr>
        <w:tc>
          <w:tcPr>
            <w:tcW w:w="676" w:type="dxa"/>
            <w:vMerge w:val="continue"/>
            <w:tcBorders>
              <w:tl2br w:val="nil"/>
              <w:tr2bl w:val="nil"/>
            </w:tcBorders>
            <w:shd w:val="clear" w:color="auto" w:fill="auto"/>
            <w:vAlign w:val="center"/>
          </w:tcPr>
          <w:p w14:paraId="5B506B0E">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3BB670A4">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1304" w:type="dxa"/>
            <w:tcBorders>
              <w:tl2br w:val="nil"/>
              <w:tr2bl w:val="nil"/>
            </w:tcBorders>
            <w:shd w:val="clear" w:color="auto" w:fill="auto"/>
            <w:vAlign w:val="center"/>
          </w:tcPr>
          <w:p w14:paraId="2B38F188">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违约承诺</w:t>
            </w:r>
          </w:p>
        </w:tc>
        <w:tc>
          <w:tcPr>
            <w:tcW w:w="1290" w:type="dxa"/>
            <w:tcBorders>
              <w:tl2br w:val="nil"/>
              <w:tr2bl w:val="nil"/>
            </w:tcBorders>
            <w:shd w:val="clear" w:color="auto" w:fill="auto"/>
            <w:vAlign w:val="center"/>
          </w:tcPr>
          <w:p w14:paraId="5BCB75A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5127" w:type="dxa"/>
            <w:tcBorders>
              <w:tl2br w:val="nil"/>
              <w:tr2bl w:val="nil"/>
            </w:tcBorders>
            <w:shd w:val="clear" w:color="auto" w:fill="auto"/>
            <w:vAlign w:val="center"/>
          </w:tcPr>
          <w:p w14:paraId="6E27AC8B">
            <w:pPr>
              <w:widowControl/>
              <w:spacing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投标人承诺以下全部三项的得</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分，否则不得分。</w:t>
            </w:r>
          </w:p>
          <w:p w14:paraId="269ED63F">
            <w:pPr>
              <w:widowControl/>
              <w:spacing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1.人员严格按照招标文件及投标承诺配置；</w:t>
            </w:r>
          </w:p>
          <w:p w14:paraId="08650B53">
            <w:pPr>
              <w:widowControl/>
              <w:spacing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2.服务质量达到招标文件要求；</w:t>
            </w:r>
          </w:p>
          <w:p w14:paraId="522E2B58">
            <w:pPr>
              <w:spacing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3.对未能达到的管理要求承担管理责任。</w:t>
            </w:r>
          </w:p>
          <w:p w14:paraId="1FC3F798">
            <w:pPr>
              <w:keepNext w:val="0"/>
              <w:keepLines w:val="0"/>
              <w:pageBreakBefore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Cs w:val="21"/>
                <w:highlight w:val="none"/>
              </w:rPr>
              <w:t>要求提供承诺（格式自定）作为得分依据，未提供承诺或承诺内容不满足要求不得分。</w:t>
            </w:r>
          </w:p>
        </w:tc>
      </w:tr>
      <w:tr w14:paraId="0F5B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continue"/>
            <w:tcBorders>
              <w:tl2br w:val="nil"/>
              <w:tr2bl w:val="nil"/>
            </w:tcBorders>
            <w:shd w:val="clear" w:color="auto" w:fill="auto"/>
            <w:vAlign w:val="center"/>
          </w:tcPr>
          <w:p w14:paraId="2B9043C5">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2763B8E4">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p>
        </w:tc>
        <w:tc>
          <w:tcPr>
            <w:tcW w:w="1304" w:type="dxa"/>
            <w:tcBorders>
              <w:tl2br w:val="nil"/>
              <w:tr2bl w:val="nil"/>
            </w:tcBorders>
            <w:shd w:val="clear" w:color="auto" w:fill="auto"/>
            <w:vAlign w:val="center"/>
          </w:tcPr>
          <w:p w14:paraId="72B7884B">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拟安排的项目负责人情况（仅限一人）</w:t>
            </w:r>
          </w:p>
        </w:tc>
        <w:tc>
          <w:tcPr>
            <w:tcW w:w="1290" w:type="dxa"/>
            <w:tcBorders>
              <w:tl2br w:val="nil"/>
              <w:tr2bl w:val="nil"/>
            </w:tcBorders>
            <w:shd w:val="clear" w:color="auto" w:fill="auto"/>
            <w:vAlign w:val="center"/>
          </w:tcPr>
          <w:p w14:paraId="6B440524">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5</w:t>
            </w:r>
          </w:p>
        </w:tc>
        <w:tc>
          <w:tcPr>
            <w:tcW w:w="5127" w:type="dxa"/>
            <w:tcBorders>
              <w:tl2br w:val="nil"/>
              <w:tr2bl w:val="nil"/>
            </w:tcBorders>
            <w:shd w:val="clear" w:color="auto" w:fill="auto"/>
            <w:vAlign w:val="center"/>
          </w:tcPr>
          <w:p w14:paraId="06CA1638">
            <w:pPr>
              <w:keepNext w:val="0"/>
              <w:keepLines w:val="0"/>
              <w:pageBreakBefore w:val="0"/>
              <w:numPr>
                <w:ilvl w:val="-1"/>
                <w:numId w:val="0"/>
              </w:numPr>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一</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评分内容</w:t>
            </w:r>
            <w:r>
              <w:rPr>
                <w:rFonts w:hint="eastAsia" w:ascii="仿宋_GB2312" w:hAnsi="仿宋_GB2312" w:eastAsia="仿宋_GB2312" w:cs="仿宋_GB2312"/>
                <w:color w:val="auto"/>
                <w:sz w:val="21"/>
                <w:szCs w:val="21"/>
                <w:highlight w:val="none"/>
                <w:lang w:eastAsia="zh-CN"/>
              </w:rPr>
              <w:t>：</w:t>
            </w:r>
          </w:p>
          <w:p w14:paraId="74BD154F">
            <w:pPr>
              <w:spacing w:line="240" w:lineRule="exac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拟安排的项目负责人（仅限1人）需为投标人自有员工，</w:t>
            </w:r>
            <w:r>
              <w:rPr>
                <w:rFonts w:hint="eastAsia" w:ascii="仿宋_GB2312" w:hAnsi="仿宋_GB2312" w:eastAsia="仿宋_GB2312" w:cs="仿宋_GB2312"/>
                <w:color w:val="auto"/>
                <w:szCs w:val="21"/>
                <w:highlight w:val="none"/>
                <w:lang w:val="en-US" w:eastAsia="zh-CN"/>
              </w:rPr>
              <w:t>需具备以下资质：</w:t>
            </w:r>
          </w:p>
          <w:p w14:paraId="4A5D0AB3">
            <w:pPr>
              <w:spacing w:line="24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 w:val="21"/>
                <w:szCs w:val="21"/>
                <w:highlight w:val="none"/>
              </w:rPr>
              <w:t>拥有</w:t>
            </w:r>
            <w:r>
              <w:rPr>
                <w:rFonts w:hint="eastAsia" w:ascii="仿宋_GB2312" w:hAnsi="仿宋_GB2312" w:eastAsia="仿宋_GB2312" w:cs="仿宋_GB2312"/>
                <w:color w:val="auto"/>
                <w:sz w:val="21"/>
                <w:szCs w:val="21"/>
                <w:highlight w:val="none"/>
                <w:lang w:val="en-US" w:eastAsia="zh-CN"/>
              </w:rPr>
              <w:t>高级网络</w:t>
            </w:r>
            <w:r>
              <w:rPr>
                <w:rFonts w:hint="eastAsia" w:ascii="仿宋_GB2312" w:hAnsi="仿宋_GB2312" w:eastAsia="仿宋_GB2312" w:cs="仿宋_GB2312"/>
                <w:color w:val="auto"/>
                <w:sz w:val="21"/>
                <w:szCs w:val="21"/>
                <w:highlight w:val="none"/>
              </w:rPr>
              <w:t>舆情分析师证书</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pacing w:val="-1"/>
                <w:sz w:val="21"/>
                <w:szCs w:val="21"/>
                <w:highlight w:val="none"/>
              </w:rPr>
              <w:t>高级信息系统项目管理师证书</w:t>
            </w:r>
            <w:r>
              <w:rPr>
                <w:rFonts w:hint="eastAsia" w:ascii="仿宋_GB2312" w:hAnsi="仿宋_GB2312" w:eastAsia="仿宋_GB2312" w:cs="仿宋_GB2312"/>
                <w:color w:val="auto"/>
                <w:spacing w:val="-1"/>
                <w:sz w:val="21"/>
                <w:szCs w:val="21"/>
                <w:highlight w:val="none"/>
                <w:lang w:val="en-US" w:eastAsia="zh-CN"/>
              </w:rPr>
              <w:t>得</w:t>
            </w:r>
            <w:r>
              <w:rPr>
                <w:rFonts w:hint="eastAsia" w:ascii="仿宋_GB2312" w:hAnsi="仿宋_GB2312" w:eastAsia="仿宋_GB2312" w:cs="仿宋_GB2312"/>
                <w:color w:val="auto"/>
                <w:sz w:val="21"/>
                <w:szCs w:val="21"/>
                <w:highlight w:val="none"/>
                <w:lang w:val="en-US" w:eastAsia="zh-CN"/>
              </w:rPr>
              <w:t>3分；</w:t>
            </w:r>
          </w:p>
          <w:p w14:paraId="156E57CB">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Cs w:val="21"/>
                <w:highlight w:val="none"/>
                <w:lang w:val="en-US" w:eastAsia="zh-CN"/>
              </w:rPr>
              <w:t>大专</w:t>
            </w:r>
            <w:r>
              <w:rPr>
                <w:rFonts w:hint="eastAsia" w:ascii="仿宋_GB2312" w:hAnsi="仿宋_GB2312" w:eastAsia="仿宋_GB2312" w:cs="仿宋_GB2312"/>
                <w:color w:val="auto"/>
                <w:szCs w:val="21"/>
                <w:highlight w:val="none"/>
              </w:rPr>
              <w:t>学历的得1分，</w:t>
            </w:r>
            <w:r>
              <w:rPr>
                <w:rFonts w:hint="eastAsia" w:ascii="仿宋_GB2312" w:hAnsi="仿宋_GB2312" w:eastAsia="仿宋_GB2312" w:cs="仿宋_GB2312"/>
                <w:color w:val="auto"/>
                <w:szCs w:val="21"/>
                <w:highlight w:val="none"/>
                <w:lang w:val="en-US" w:eastAsia="zh-CN"/>
              </w:rPr>
              <w:t>本科</w:t>
            </w:r>
            <w:r>
              <w:rPr>
                <w:rFonts w:hint="eastAsia" w:ascii="仿宋_GB2312" w:hAnsi="仿宋_GB2312" w:eastAsia="仿宋_GB2312" w:cs="仿宋_GB2312"/>
                <w:color w:val="auto"/>
                <w:szCs w:val="21"/>
                <w:highlight w:val="none"/>
              </w:rPr>
              <w:t>学历（或以上）得</w:t>
            </w:r>
            <w:r>
              <w:rPr>
                <w:rFonts w:hint="eastAsia" w:ascii="仿宋_GB2312" w:hAnsi="仿宋_GB2312" w:eastAsia="仿宋_GB2312" w:cs="仿宋_GB2312"/>
                <w:color w:val="auto"/>
                <w:szCs w:val="21"/>
                <w:highlight w:val="none"/>
                <w:lang w:eastAsia="zh-CN"/>
              </w:rPr>
              <w:t>2</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p>
          <w:p w14:paraId="075FE069">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（二）评分依据：</w:t>
            </w:r>
          </w:p>
          <w:p w14:paraId="3A7FD887">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1.要求提供通过投标人缴纳的近三个月的任意一个月的社保证明作为本单位员工的证明依据。若供应商成立不足三个月的，需提供成立情况说明函（格式自拟），无需提供相关人员社保，亦可得分。</w:t>
            </w:r>
          </w:p>
          <w:p w14:paraId="6242253E">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2.要求提供投标人</w:t>
            </w:r>
            <w:r>
              <w:rPr>
                <w:rFonts w:hint="eastAsia" w:ascii="仿宋_GB2312" w:hAnsi="仿宋_GB2312" w:eastAsia="仿宋_GB2312" w:cs="仿宋_GB2312"/>
                <w:color w:val="auto"/>
                <w:sz w:val="21"/>
                <w:szCs w:val="21"/>
                <w:highlight w:val="none"/>
                <w:lang w:val="en-US" w:eastAsia="zh-CN"/>
              </w:rPr>
              <w:t>学历证书、资格证书</w:t>
            </w:r>
            <w:r>
              <w:rPr>
                <w:rFonts w:hint="eastAsia" w:ascii="仿宋_GB2312" w:hAnsi="仿宋_GB2312" w:eastAsia="仿宋_GB2312" w:cs="仿宋_GB2312"/>
                <w:color w:val="auto"/>
                <w:szCs w:val="21"/>
                <w:highlight w:val="none"/>
                <w:lang w:val="en-US" w:eastAsia="zh-CN"/>
              </w:rPr>
              <w:t>等</w:t>
            </w:r>
            <w:r>
              <w:rPr>
                <w:rFonts w:hint="eastAsia" w:ascii="仿宋_GB2312" w:hAnsi="仿宋_GB2312" w:eastAsia="仿宋_GB2312" w:cs="仿宋_GB2312"/>
                <w:color w:val="auto"/>
                <w:sz w:val="21"/>
                <w:szCs w:val="21"/>
                <w:highlight w:val="none"/>
              </w:rPr>
              <w:t>资料作为得分依据。</w:t>
            </w:r>
          </w:p>
          <w:p w14:paraId="1F88AFB4">
            <w:pPr>
              <w:keepNext w:val="0"/>
              <w:keepLines w:val="0"/>
              <w:pageBreakBefore w:val="0"/>
              <w:kinsoku/>
              <w:wordWrap/>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3.以上资料均要求提供扫描件，原件备查。评分中出现无证明资料或专家无法凭所提供资料判断是否得分的情况，一律作不得分处理。</w:t>
            </w:r>
          </w:p>
        </w:tc>
      </w:tr>
      <w:tr w14:paraId="6AAD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5392" w:hRule="atLeast"/>
          <w:tblCellSpacing w:w="0" w:type="dxa"/>
          <w:jc w:val="center"/>
        </w:trPr>
        <w:tc>
          <w:tcPr>
            <w:tcW w:w="676" w:type="dxa"/>
            <w:vMerge w:val="continue"/>
            <w:tcBorders>
              <w:tl2br w:val="nil"/>
              <w:tr2bl w:val="nil"/>
            </w:tcBorders>
            <w:shd w:val="clear" w:color="auto" w:fill="auto"/>
            <w:vAlign w:val="center"/>
          </w:tcPr>
          <w:p w14:paraId="790C6437">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03450E41">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1304" w:type="dxa"/>
            <w:tcBorders>
              <w:tl2br w:val="nil"/>
              <w:tr2bl w:val="nil"/>
            </w:tcBorders>
            <w:shd w:val="clear" w:color="auto" w:fill="auto"/>
            <w:vAlign w:val="center"/>
          </w:tcPr>
          <w:p w14:paraId="7F4DCCC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拟安排的项目主要团队成员（主要技术人员）情况（项目负责人除外）</w:t>
            </w:r>
          </w:p>
        </w:tc>
        <w:tc>
          <w:tcPr>
            <w:tcW w:w="1290" w:type="dxa"/>
            <w:tcBorders>
              <w:tl2br w:val="nil"/>
              <w:tr2bl w:val="nil"/>
            </w:tcBorders>
            <w:shd w:val="clear" w:color="auto" w:fill="auto"/>
            <w:vAlign w:val="center"/>
          </w:tcPr>
          <w:p w14:paraId="7151118E">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5127" w:type="dxa"/>
            <w:tcBorders>
              <w:tl2br w:val="nil"/>
              <w:tr2bl w:val="nil"/>
            </w:tcBorders>
            <w:shd w:val="clear" w:color="auto" w:fill="auto"/>
            <w:vAlign w:val="center"/>
          </w:tcPr>
          <w:p w14:paraId="14159880">
            <w:pPr>
              <w:keepNext w:val="0"/>
              <w:keepLines w:val="0"/>
              <w:pageBreakBefore w:val="0"/>
              <w:numPr>
                <w:ilvl w:val="-1"/>
                <w:numId w:val="0"/>
              </w:numPr>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一</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评分内容</w:t>
            </w:r>
            <w:r>
              <w:rPr>
                <w:rFonts w:hint="eastAsia" w:ascii="仿宋_GB2312" w:hAnsi="仿宋_GB2312" w:eastAsia="仿宋_GB2312" w:cs="仿宋_GB2312"/>
                <w:color w:val="auto"/>
                <w:sz w:val="21"/>
                <w:szCs w:val="21"/>
                <w:highlight w:val="none"/>
                <w:lang w:eastAsia="zh-CN"/>
              </w:rPr>
              <w:t>：</w:t>
            </w:r>
          </w:p>
          <w:p w14:paraId="4A9EC49E">
            <w:pPr>
              <w:keepNext w:val="0"/>
              <w:keepLines w:val="0"/>
              <w:pageBreakBefore w:val="0"/>
              <w:numPr>
                <w:ilvl w:val="-1"/>
                <w:numId w:val="0"/>
              </w:numPr>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Cs w:val="21"/>
                <w:highlight w:val="none"/>
                <w:lang w:eastAsia="zh-CN"/>
              </w:rPr>
              <w:t>本</w:t>
            </w:r>
            <w:r>
              <w:rPr>
                <w:rFonts w:hint="eastAsia" w:ascii="仿宋_GB2312" w:hAnsi="仿宋_GB2312" w:eastAsia="仿宋_GB2312" w:cs="仿宋_GB2312"/>
                <w:color w:val="auto"/>
                <w:szCs w:val="21"/>
                <w:highlight w:val="none"/>
              </w:rPr>
              <w:t>项目拟安排的项目团队成员总人数要求</w:t>
            </w:r>
            <w:r>
              <w:rPr>
                <w:rFonts w:hint="eastAsia" w:ascii="仿宋_GB2312" w:hAnsi="仿宋_GB2312" w:eastAsia="仿宋_GB2312" w:cs="仿宋_GB2312"/>
                <w:color w:val="auto"/>
                <w:szCs w:val="21"/>
                <w:highlight w:val="none"/>
                <w:lang w:val="en-US" w:eastAsia="zh-CN"/>
              </w:rPr>
              <w:t>不少于</w:t>
            </w:r>
            <w:r>
              <w:rPr>
                <w:rFonts w:hint="eastAsia" w:ascii="仿宋_GB2312" w:hAnsi="仿宋_GB2312" w:eastAsia="仿宋_GB2312" w:cs="仿宋_GB2312"/>
                <w:color w:val="auto"/>
                <w:szCs w:val="21"/>
                <w:highlight w:val="none"/>
              </w:rPr>
              <w:t>4人</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必须为投标单位在职员工</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Cs w:val="21"/>
                <w:highlight w:val="none"/>
                <w:lang w:val="en-US" w:eastAsia="zh-CN"/>
              </w:rPr>
              <w:t>团队人数符合条件得6分，否则不得分。在满足以上条件下逐步加分</w:t>
            </w:r>
            <w:r>
              <w:rPr>
                <w:rFonts w:hint="eastAsia" w:ascii="仿宋_GB2312" w:hAnsi="仿宋_GB2312" w:eastAsia="仿宋_GB2312" w:cs="仿宋_GB2312"/>
                <w:color w:val="auto"/>
                <w:szCs w:val="21"/>
                <w:highlight w:val="none"/>
              </w:rPr>
              <w:t>：</w:t>
            </w:r>
          </w:p>
          <w:p w14:paraId="12FB1B8B">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pacing w:val="-5"/>
                <w:sz w:val="21"/>
                <w:szCs w:val="21"/>
                <w:highlight w:val="none"/>
                <w:lang w:val="en-US" w:eastAsia="zh-CN"/>
              </w:rPr>
            </w:pPr>
            <w:r>
              <w:rPr>
                <w:rFonts w:hint="eastAsia" w:ascii="仿宋_GB2312" w:hAnsi="仿宋_GB2312" w:eastAsia="仿宋_GB2312" w:cs="仿宋_GB2312"/>
                <w:color w:val="auto"/>
                <w:spacing w:val="-5"/>
                <w:sz w:val="21"/>
                <w:szCs w:val="21"/>
                <w:highlight w:val="none"/>
                <w:lang w:val="en-US" w:eastAsia="zh-CN"/>
              </w:rPr>
              <w:t>1.</w:t>
            </w:r>
            <w:r>
              <w:rPr>
                <w:rFonts w:hint="eastAsia" w:ascii="仿宋_GB2312" w:hAnsi="仿宋_GB2312" w:eastAsia="仿宋_GB2312" w:cs="仿宋_GB2312"/>
                <w:color w:val="auto"/>
                <w:spacing w:val="-5"/>
                <w:szCs w:val="21"/>
                <w:highlight w:val="none"/>
              </w:rPr>
              <w:t>成员</w:t>
            </w:r>
            <w:r>
              <w:rPr>
                <w:rFonts w:hint="eastAsia" w:ascii="仿宋_GB2312" w:hAnsi="仿宋_GB2312" w:eastAsia="仿宋_GB2312" w:cs="仿宋_GB2312"/>
                <w:color w:val="auto"/>
                <w:spacing w:val="-5"/>
                <w:szCs w:val="21"/>
                <w:highlight w:val="none"/>
                <w:lang w:val="en-US" w:eastAsia="zh-CN"/>
              </w:rPr>
              <w:t>具有</w:t>
            </w:r>
            <w:r>
              <w:rPr>
                <w:rFonts w:hint="eastAsia" w:ascii="仿宋_GB2312" w:hAnsi="仿宋_GB2312" w:eastAsia="仿宋_GB2312" w:cs="仿宋_GB2312"/>
                <w:color w:val="auto"/>
                <w:spacing w:val="-5"/>
                <w:szCs w:val="21"/>
                <w:highlight w:val="none"/>
              </w:rPr>
              <w:t>高级网络舆情分析师证书</w:t>
            </w:r>
            <w:r>
              <w:rPr>
                <w:rFonts w:hint="eastAsia" w:ascii="仿宋_GB2312" w:hAnsi="仿宋_GB2312" w:eastAsia="仿宋_GB2312" w:cs="仿宋_GB2312"/>
                <w:color w:val="auto"/>
                <w:spacing w:val="-5"/>
                <w:szCs w:val="21"/>
                <w:highlight w:val="none"/>
                <w:lang w:val="en-US" w:eastAsia="zh-CN"/>
              </w:rPr>
              <w:t>的每提供1人得2分；</w:t>
            </w:r>
          </w:p>
          <w:p w14:paraId="1FC9FC7D">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pacing w:val="-5"/>
                <w:szCs w:val="21"/>
                <w:highlight w:val="none"/>
                <w:lang w:val="en-US" w:eastAsia="zh-CN"/>
              </w:rPr>
            </w:pPr>
            <w:r>
              <w:rPr>
                <w:rFonts w:hint="eastAsia" w:ascii="仿宋_GB2312" w:hAnsi="仿宋_GB2312" w:eastAsia="仿宋_GB2312" w:cs="仿宋_GB2312"/>
                <w:color w:val="auto"/>
                <w:spacing w:val="-5"/>
                <w:sz w:val="21"/>
                <w:szCs w:val="21"/>
                <w:highlight w:val="none"/>
                <w:lang w:val="en-US" w:eastAsia="zh-CN"/>
              </w:rPr>
              <w:t>2.</w:t>
            </w:r>
            <w:r>
              <w:rPr>
                <w:rFonts w:hint="eastAsia" w:ascii="仿宋_GB2312" w:hAnsi="仿宋_GB2312" w:eastAsia="仿宋_GB2312" w:cs="仿宋_GB2312"/>
                <w:color w:val="auto"/>
                <w:spacing w:val="-5"/>
                <w:szCs w:val="21"/>
                <w:highlight w:val="none"/>
              </w:rPr>
              <w:t>成员</w:t>
            </w:r>
            <w:r>
              <w:rPr>
                <w:rFonts w:hint="eastAsia" w:ascii="仿宋_GB2312" w:hAnsi="仿宋_GB2312" w:eastAsia="仿宋_GB2312" w:cs="仿宋_GB2312"/>
                <w:color w:val="auto"/>
                <w:spacing w:val="-5"/>
                <w:szCs w:val="21"/>
                <w:highlight w:val="none"/>
                <w:lang w:val="en-US" w:eastAsia="zh-CN"/>
              </w:rPr>
              <w:t>具有</w:t>
            </w:r>
            <w:r>
              <w:rPr>
                <w:rFonts w:hint="eastAsia" w:ascii="仿宋_GB2312" w:hAnsi="仿宋_GB2312" w:eastAsia="仿宋_GB2312" w:cs="仿宋_GB2312"/>
                <w:color w:val="auto"/>
                <w:spacing w:val="-1"/>
                <w:szCs w:val="21"/>
                <w:highlight w:val="none"/>
                <w:lang w:val="en-US" w:eastAsia="zh-CN"/>
              </w:rPr>
              <w:t>高级系统分析师</w:t>
            </w:r>
            <w:r>
              <w:rPr>
                <w:rFonts w:hint="eastAsia" w:ascii="仿宋_GB2312" w:hAnsi="仿宋_GB2312" w:eastAsia="仿宋_GB2312" w:cs="仿宋_GB2312"/>
                <w:color w:val="auto"/>
                <w:spacing w:val="-1"/>
                <w:szCs w:val="21"/>
                <w:highlight w:val="none"/>
              </w:rPr>
              <w:t>证书</w:t>
            </w:r>
            <w:r>
              <w:rPr>
                <w:rFonts w:hint="eastAsia" w:ascii="仿宋_GB2312" w:hAnsi="仿宋_GB2312" w:eastAsia="仿宋_GB2312" w:cs="仿宋_GB2312"/>
                <w:color w:val="auto"/>
                <w:spacing w:val="-5"/>
                <w:szCs w:val="21"/>
                <w:highlight w:val="none"/>
                <w:lang w:val="en-US" w:eastAsia="zh-CN"/>
              </w:rPr>
              <w:t>的每提供1人得2分；</w:t>
            </w:r>
          </w:p>
          <w:p w14:paraId="6611D8FB">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pacing w:val="-5"/>
                <w:sz w:val="21"/>
                <w:szCs w:val="21"/>
                <w:highlight w:val="none"/>
                <w:lang w:val="en-US" w:eastAsia="zh-CN"/>
              </w:rPr>
            </w:pPr>
            <w:r>
              <w:rPr>
                <w:rFonts w:hint="eastAsia" w:ascii="仿宋_GB2312" w:hAnsi="仿宋_GB2312" w:eastAsia="仿宋_GB2312" w:cs="仿宋_GB2312"/>
                <w:color w:val="auto"/>
                <w:spacing w:val="-5"/>
                <w:sz w:val="21"/>
                <w:szCs w:val="21"/>
                <w:highlight w:val="none"/>
                <w:lang w:val="en-US" w:eastAsia="zh-CN"/>
              </w:rPr>
              <w:t>3.</w:t>
            </w:r>
            <w:r>
              <w:rPr>
                <w:rFonts w:hint="eastAsia" w:ascii="仿宋_GB2312" w:hAnsi="仿宋_GB2312" w:eastAsia="仿宋_GB2312" w:cs="仿宋_GB2312"/>
                <w:color w:val="auto"/>
                <w:spacing w:val="-5"/>
                <w:szCs w:val="21"/>
                <w:highlight w:val="none"/>
              </w:rPr>
              <w:t>成员</w:t>
            </w:r>
            <w:r>
              <w:rPr>
                <w:rFonts w:hint="eastAsia" w:ascii="仿宋_GB2312" w:hAnsi="仿宋_GB2312" w:eastAsia="仿宋_GB2312" w:cs="仿宋_GB2312"/>
                <w:color w:val="auto"/>
                <w:spacing w:val="-5"/>
                <w:szCs w:val="21"/>
                <w:highlight w:val="none"/>
                <w:lang w:val="en-US" w:eastAsia="zh-CN"/>
              </w:rPr>
              <w:t>具有</w:t>
            </w:r>
            <w:r>
              <w:rPr>
                <w:rFonts w:hint="eastAsia" w:ascii="仿宋_GB2312" w:hAnsi="仿宋_GB2312" w:eastAsia="仿宋_GB2312" w:cs="仿宋_GB2312"/>
                <w:color w:val="auto"/>
                <w:spacing w:val="-1"/>
                <w:szCs w:val="21"/>
                <w:highlight w:val="none"/>
              </w:rPr>
              <w:t>高级信息系统项目管理师证书</w:t>
            </w:r>
            <w:r>
              <w:rPr>
                <w:rFonts w:hint="eastAsia" w:ascii="仿宋_GB2312" w:hAnsi="仿宋_GB2312" w:eastAsia="仿宋_GB2312" w:cs="仿宋_GB2312"/>
                <w:color w:val="auto"/>
                <w:spacing w:val="-5"/>
                <w:szCs w:val="21"/>
                <w:highlight w:val="none"/>
                <w:lang w:val="en-US" w:eastAsia="zh-CN"/>
              </w:rPr>
              <w:t>的每提供1人得2分</w:t>
            </w:r>
            <w:r>
              <w:rPr>
                <w:rFonts w:hint="eastAsia" w:ascii="仿宋_GB2312" w:hAnsi="仿宋_GB2312" w:eastAsia="仿宋_GB2312" w:cs="仿宋_GB2312"/>
                <w:color w:val="auto"/>
                <w:spacing w:val="-5"/>
                <w:sz w:val="21"/>
                <w:szCs w:val="21"/>
                <w:highlight w:val="none"/>
                <w:lang w:val="en-US" w:eastAsia="zh-CN"/>
              </w:rPr>
              <w:t>。</w:t>
            </w:r>
          </w:p>
          <w:p w14:paraId="5AFE50BB">
            <w:pPr>
              <w:keepNext w:val="0"/>
              <w:keepLines w:val="0"/>
              <w:pageBreakBefore w:val="0"/>
              <w:kinsoku/>
              <w:overflowPunct/>
              <w:topLinePunct w:val="0"/>
              <w:autoSpaceDE/>
              <w:autoSpaceDN/>
              <w:bidi w:val="0"/>
              <w:adjustRightInd/>
              <w:snapToGrid/>
              <w:spacing w:after="0" w:line="240" w:lineRule="exact"/>
              <w:ind w:firstLine="0" w:firstLineChars="0"/>
              <w:jc w:val="both"/>
              <w:textAlignment w:val="auto"/>
              <w:rPr>
                <w:rFonts w:hint="eastAsia" w:ascii="仿宋_GB2312" w:hAnsi="仿宋_GB2312" w:eastAsia="仿宋_GB2312" w:cs="仿宋_GB2312"/>
                <w:color w:val="auto"/>
                <w:spacing w:val="-5"/>
                <w:szCs w:val="21"/>
                <w:highlight w:val="none"/>
                <w:lang w:val="en-US" w:eastAsia="zh-CN"/>
              </w:rPr>
            </w:pPr>
            <w:r>
              <w:rPr>
                <w:rFonts w:hint="eastAsia" w:ascii="仿宋_GB2312" w:hAnsi="仿宋_GB2312" w:eastAsia="仿宋_GB2312" w:cs="仿宋_GB2312"/>
                <w:color w:val="auto"/>
                <w:spacing w:val="-5"/>
                <w:sz w:val="21"/>
                <w:szCs w:val="21"/>
                <w:highlight w:val="none"/>
                <w:lang w:val="en-US" w:eastAsia="zh-CN"/>
              </w:rPr>
              <w:t>4.成员具有中级及以下</w:t>
            </w:r>
            <w:r>
              <w:rPr>
                <w:rFonts w:hint="eastAsia" w:ascii="仿宋_GB2312" w:hAnsi="仿宋_GB2312" w:eastAsia="仿宋_GB2312" w:cs="仿宋_GB2312"/>
                <w:color w:val="auto"/>
                <w:spacing w:val="-5"/>
                <w:sz w:val="21"/>
                <w:szCs w:val="21"/>
                <w:highlight w:val="none"/>
              </w:rPr>
              <w:t>网络舆情分析师证书</w:t>
            </w:r>
            <w:r>
              <w:rPr>
                <w:rFonts w:hint="eastAsia" w:ascii="仿宋_GB2312" w:hAnsi="仿宋_GB2312" w:eastAsia="仿宋_GB2312" w:cs="仿宋_GB2312"/>
                <w:color w:val="auto"/>
                <w:spacing w:val="-5"/>
                <w:sz w:val="21"/>
                <w:szCs w:val="21"/>
                <w:highlight w:val="none"/>
                <w:lang w:val="en-US" w:eastAsia="zh-CN"/>
              </w:rPr>
              <w:t>的每提供1人得1分；</w:t>
            </w:r>
          </w:p>
          <w:p w14:paraId="7A126295">
            <w:pPr>
              <w:spacing w:after="0" w:line="240" w:lineRule="exact"/>
              <w:ind w:firstLine="0" w:firstLineChars="0"/>
              <w:jc w:val="both"/>
              <w:rPr>
                <w:rFonts w:hint="eastAsia" w:ascii="仿宋_GB2312" w:hAnsi="仿宋_GB2312" w:eastAsia="仿宋_GB2312" w:cs="仿宋_GB2312"/>
                <w:color w:val="auto"/>
                <w:spacing w:val="-5"/>
                <w:szCs w:val="21"/>
                <w:highlight w:val="none"/>
                <w:lang w:val="en-US" w:eastAsia="zh-CN"/>
              </w:rPr>
            </w:pPr>
            <w:r>
              <w:rPr>
                <w:rFonts w:hint="eastAsia" w:ascii="仿宋_GB2312" w:hAnsi="仿宋_GB2312" w:eastAsia="仿宋_GB2312" w:cs="仿宋_GB2312"/>
                <w:color w:val="auto"/>
                <w:spacing w:val="-5"/>
                <w:sz w:val="21"/>
                <w:szCs w:val="21"/>
                <w:highlight w:val="none"/>
                <w:lang w:val="en-US" w:eastAsia="zh-CN"/>
              </w:rPr>
              <w:t>以上条件加分最高不超过9分。</w:t>
            </w:r>
          </w:p>
          <w:p w14:paraId="48A08D07">
            <w:pPr>
              <w:spacing w:line="240" w:lineRule="exact"/>
              <w:ind w:right="0" w:rightChars="0" w:firstLine="0" w:firstLineChars="0"/>
              <w:jc w:val="both"/>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1"/>
                <w:szCs w:val="21"/>
                <w:highlight w:val="none"/>
              </w:rPr>
              <w:t>（二）评分依据：</w:t>
            </w:r>
          </w:p>
          <w:p w14:paraId="151B0EE6">
            <w:pPr>
              <w:spacing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需提供通过投标人缴纳的近三个月的任意一个月的社保证明作为本单位员工的证明依据。如供应商为新成立单位且成立时间不足一个月的，可提供加盖公章的情况说明亦视为符合。评分中出现无证明资料或专家无法凭所提供资料判断是否得分的情况，一律作不得分处理。</w:t>
            </w:r>
          </w:p>
          <w:p w14:paraId="63928A35">
            <w:pPr>
              <w:keepNext w:val="0"/>
              <w:keepLines w:val="0"/>
              <w:pageBreakBefore w:val="0"/>
              <w:kinsoku/>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相关证书证明材料复印件（或扫描件）加盖公章，原件备查。</w:t>
            </w:r>
          </w:p>
        </w:tc>
      </w:tr>
      <w:tr w14:paraId="2518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482" w:hRule="atLeast"/>
          <w:tblCellSpacing w:w="0" w:type="dxa"/>
          <w:jc w:val="center"/>
        </w:trPr>
        <w:tc>
          <w:tcPr>
            <w:tcW w:w="6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13442D">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w:t>
            </w:r>
          </w:p>
        </w:tc>
        <w:tc>
          <w:tcPr>
            <w:tcW w:w="3269" w:type="dxa"/>
            <w:gridSpan w:val="3"/>
            <w:tcBorders>
              <w:tl2br w:val="nil"/>
              <w:tr2bl w:val="nil"/>
            </w:tcBorders>
            <w:shd w:val="clear" w:color="auto" w:fill="auto"/>
            <w:vAlign w:val="center"/>
          </w:tcPr>
          <w:p w14:paraId="3BBE0AC7">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商务部分</w:t>
            </w:r>
          </w:p>
        </w:tc>
        <w:tc>
          <w:tcPr>
            <w:tcW w:w="5127" w:type="dxa"/>
            <w:tcBorders>
              <w:tl2br w:val="nil"/>
              <w:tr2bl w:val="nil"/>
            </w:tcBorders>
            <w:shd w:val="clear" w:color="auto" w:fill="auto"/>
            <w:vAlign w:val="center"/>
          </w:tcPr>
          <w:p w14:paraId="0A4A7763">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30</w:t>
            </w:r>
          </w:p>
        </w:tc>
      </w:tr>
      <w:tr w14:paraId="13E2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556" w:hRule="atLeast"/>
          <w:tblCellSpacing w:w="0" w:type="dxa"/>
          <w:jc w:val="center"/>
        </w:trPr>
        <w:tc>
          <w:tcPr>
            <w:tcW w:w="6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3F1C73">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6B96C17B">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304" w:type="dxa"/>
            <w:tcBorders>
              <w:tl2br w:val="nil"/>
              <w:tr2bl w:val="nil"/>
            </w:tcBorders>
            <w:shd w:val="clear" w:color="auto" w:fill="auto"/>
            <w:vAlign w:val="center"/>
          </w:tcPr>
          <w:p w14:paraId="3E94215A">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评审因素</w:t>
            </w:r>
          </w:p>
        </w:tc>
        <w:tc>
          <w:tcPr>
            <w:tcW w:w="1290" w:type="dxa"/>
            <w:tcBorders>
              <w:tl2br w:val="nil"/>
              <w:tr2bl w:val="nil"/>
            </w:tcBorders>
            <w:shd w:val="clear" w:color="auto" w:fill="auto"/>
            <w:vAlign w:val="center"/>
          </w:tcPr>
          <w:p w14:paraId="7DF1638D">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权重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w:t>
            </w:r>
          </w:p>
        </w:tc>
        <w:tc>
          <w:tcPr>
            <w:tcW w:w="5127" w:type="dxa"/>
            <w:tcBorders>
              <w:tl2br w:val="nil"/>
              <w:tr2bl w:val="nil"/>
            </w:tcBorders>
            <w:shd w:val="clear" w:color="auto" w:fill="auto"/>
            <w:vAlign w:val="center"/>
          </w:tcPr>
          <w:p w14:paraId="30C58FBC">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评分准则</w:t>
            </w:r>
          </w:p>
        </w:tc>
      </w:tr>
      <w:tr w14:paraId="414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2669" w:hRule="atLeast"/>
          <w:tblCellSpacing w:w="0" w:type="dxa"/>
          <w:jc w:val="center"/>
        </w:trPr>
        <w:tc>
          <w:tcPr>
            <w:tcW w:w="6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56DCAD">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688FC5CC">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04" w:type="dxa"/>
            <w:tcBorders>
              <w:tl2br w:val="nil"/>
              <w:tr2bl w:val="nil"/>
            </w:tcBorders>
            <w:shd w:val="clear" w:color="auto" w:fill="auto"/>
            <w:vAlign w:val="center"/>
          </w:tcPr>
          <w:p w14:paraId="51B5DD39">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供应商认证情况</w:t>
            </w:r>
          </w:p>
        </w:tc>
        <w:tc>
          <w:tcPr>
            <w:tcW w:w="1290" w:type="dxa"/>
            <w:tcBorders>
              <w:tl2br w:val="nil"/>
              <w:tr2bl w:val="nil"/>
            </w:tcBorders>
            <w:shd w:val="clear" w:color="auto" w:fill="auto"/>
            <w:vAlign w:val="center"/>
          </w:tcPr>
          <w:p w14:paraId="1354DCE8">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5127" w:type="dxa"/>
            <w:tcBorders>
              <w:tl2br w:val="nil"/>
              <w:tr2bl w:val="nil"/>
            </w:tcBorders>
            <w:shd w:val="clear" w:color="auto" w:fill="auto"/>
            <w:vAlign w:val="center"/>
          </w:tcPr>
          <w:p w14:paraId="0EE01A3E">
            <w:pPr>
              <w:keepNext w:val="0"/>
              <w:keepLines w:val="0"/>
              <w:pageBreakBefore w:val="0"/>
              <w:numPr>
                <w:ilvl w:val="-1"/>
                <w:numId w:val="0"/>
              </w:numPr>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一</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评分内容：</w:t>
            </w:r>
          </w:p>
          <w:p w14:paraId="5ACCE7AE">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ISO9001质量管理体系认证证书，得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p>
          <w:p w14:paraId="3B054C53">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ISO20000信息技术服务管理体系认证证书，得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0E7B16A8">
            <w:pPr>
              <w:spacing w:after="0" w:line="240" w:lineRule="exact"/>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ISO2</w:t>
            </w:r>
            <w:r>
              <w:rPr>
                <w:rFonts w:hint="eastAsia" w:ascii="仿宋_GB2312" w:hAnsi="仿宋_GB2312" w:eastAsia="仿宋_GB2312" w:cs="仿宋_GB2312"/>
                <w:color w:val="auto"/>
                <w:sz w:val="21"/>
                <w:szCs w:val="21"/>
                <w:highlight w:val="none"/>
                <w:lang w:val="en-US" w:eastAsia="zh-CN"/>
              </w:rPr>
              <w:t>7001信息安全</w:t>
            </w:r>
            <w:r>
              <w:rPr>
                <w:rFonts w:hint="eastAsia" w:ascii="仿宋_GB2312" w:hAnsi="仿宋_GB2312" w:eastAsia="仿宋_GB2312" w:cs="仿宋_GB2312"/>
                <w:color w:val="auto"/>
                <w:sz w:val="21"/>
                <w:szCs w:val="21"/>
                <w:highlight w:val="none"/>
              </w:rPr>
              <w:t>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p>
          <w:p w14:paraId="66829072">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（二）评分依据：</w:t>
            </w:r>
          </w:p>
          <w:p w14:paraId="05ED661D">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1.要求提供有效的认证证书作为得分依据。</w:t>
            </w:r>
          </w:p>
          <w:p w14:paraId="52DDCDA7">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2.以上资料均要求提供扫描件，原件备查。评分中出现无证明资料或专家无法凭所提供资料判断是否得分的情况，一律作不得分处理。</w:t>
            </w:r>
          </w:p>
        </w:tc>
      </w:tr>
      <w:tr w14:paraId="48CC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rHeight w:val="4135" w:hRule="atLeast"/>
          <w:tblCellSpacing w:w="0" w:type="dxa"/>
          <w:jc w:val="center"/>
        </w:trPr>
        <w:tc>
          <w:tcPr>
            <w:tcW w:w="6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75AE72">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09B0B8B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304" w:type="dxa"/>
            <w:tcBorders>
              <w:tl2br w:val="nil"/>
              <w:tr2bl w:val="nil"/>
            </w:tcBorders>
            <w:shd w:val="clear" w:color="auto" w:fill="auto"/>
            <w:vAlign w:val="center"/>
          </w:tcPr>
          <w:p w14:paraId="5CF91143">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供应商同类项目业绩情况</w:t>
            </w:r>
          </w:p>
        </w:tc>
        <w:tc>
          <w:tcPr>
            <w:tcW w:w="1290" w:type="dxa"/>
            <w:tcBorders>
              <w:tl2br w:val="nil"/>
              <w:tr2bl w:val="nil"/>
            </w:tcBorders>
            <w:shd w:val="clear" w:color="auto" w:fill="auto"/>
            <w:vAlign w:val="center"/>
          </w:tcPr>
          <w:p w14:paraId="256CDC2E">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w:t>
            </w:r>
          </w:p>
        </w:tc>
        <w:tc>
          <w:tcPr>
            <w:tcW w:w="5127" w:type="dxa"/>
            <w:tcBorders>
              <w:tl2br w:val="nil"/>
              <w:tr2bl w:val="nil"/>
            </w:tcBorders>
            <w:shd w:val="clear" w:color="auto" w:fill="auto"/>
            <w:vAlign w:val="center"/>
          </w:tcPr>
          <w:p w14:paraId="4FAC559B">
            <w:pPr>
              <w:spacing w:line="240" w:lineRule="exact"/>
              <w:jc w:val="both"/>
              <w:rPr>
                <w:rFonts w:hint="eastAsia" w:ascii="仿宋_GB2312" w:hAnsi="仿宋_GB2312" w:eastAsia="仿宋_GB2312" w:cs="仿宋_GB2312"/>
                <w:b w:val="0"/>
                <w:bCs w:val="0"/>
                <w:color w:val="auto"/>
                <w:szCs w:val="21"/>
                <w:highlight w:val="none"/>
                <w:lang w:eastAsia="zh-CN"/>
              </w:rPr>
            </w:pP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lang w:val="en-US" w:eastAsia="zh-CN"/>
              </w:rPr>
              <w:t>一</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评分内容</w:t>
            </w:r>
            <w:r>
              <w:rPr>
                <w:rFonts w:hint="eastAsia" w:ascii="仿宋_GB2312" w:hAnsi="仿宋_GB2312" w:eastAsia="仿宋_GB2312" w:cs="仿宋_GB2312"/>
                <w:b w:val="0"/>
                <w:bCs w:val="0"/>
                <w:color w:val="auto"/>
                <w:szCs w:val="21"/>
                <w:highlight w:val="none"/>
                <w:lang w:eastAsia="zh-CN"/>
              </w:rPr>
              <w:t>：</w:t>
            </w:r>
          </w:p>
          <w:p w14:paraId="336113E2">
            <w:pPr>
              <w:spacing w:line="240" w:lineRule="exact"/>
              <w:jc w:val="both"/>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自202</w:t>
            </w:r>
            <w:r>
              <w:rPr>
                <w:rFonts w:hint="eastAsia" w:ascii="仿宋_GB2312" w:hAnsi="仿宋_GB2312" w:eastAsia="仿宋_GB2312" w:cs="仿宋_GB2312"/>
                <w:b w:val="0"/>
                <w:bCs w:val="0"/>
                <w:color w:val="auto"/>
                <w:szCs w:val="21"/>
                <w:highlight w:val="none"/>
                <w:lang w:eastAsia="zh-CN"/>
              </w:rPr>
              <w:t>3</w:t>
            </w:r>
            <w:r>
              <w:rPr>
                <w:rFonts w:hint="eastAsia" w:ascii="仿宋_GB2312" w:hAnsi="仿宋_GB2312" w:eastAsia="仿宋_GB2312" w:cs="仿宋_GB2312"/>
                <w:b w:val="0"/>
                <w:bCs w:val="0"/>
                <w:color w:val="auto"/>
                <w:szCs w:val="21"/>
                <w:highlight w:val="none"/>
              </w:rPr>
              <w:t>年</w:t>
            </w:r>
            <w:r>
              <w:rPr>
                <w:rFonts w:hint="eastAsia" w:ascii="仿宋_GB2312" w:hAnsi="仿宋_GB2312" w:eastAsia="仿宋_GB2312" w:cs="仿宋_GB2312"/>
                <w:b w:val="0"/>
                <w:bCs w:val="0"/>
                <w:color w:val="auto"/>
                <w:szCs w:val="21"/>
                <w:highlight w:val="none"/>
                <w:lang w:val="en-US" w:eastAsia="zh-CN"/>
              </w:rPr>
              <w:t>5</w:t>
            </w:r>
            <w:r>
              <w:rPr>
                <w:rFonts w:hint="eastAsia" w:ascii="仿宋_GB2312" w:hAnsi="仿宋_GB2312" w:eastAsia="仿宋_GB2312" w:cs="仿宋_GB2312"/>
                <w:b w:val="0"/>
                <w:bCs w:val="0"/>
                <w:color w:val="auto"/>
                <w:szCs w:val="21"/>
                <w:highlight w:val="none"/>
              </w:rPr>
              <w:t>月1日至本项目投标截止日</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以合同签订日期或合同中载明的履约起始日期为准</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，投标人具有</w:t>
            </w:r>
            <w:r>
              <w:rPr>
                <w:rFonts w:hint="eastAsia" w:ascii="仿宋_GB2312" w:hAnsi="仿宋_GB2312" w:eastAsia="仿宋_GB2312" w:cs="仿宋_GB2312"/>
                <w:b w:val="0"/>
                <w:bCs w:val="0"/>
                <w:color w:val="auto"/>
                <w:szCs w:val="21"/>
                <w:highlight w:val="none"/>
                <w:lang w:val="en-US" w:eastAsia="zh-CN"/>
              </w:rPr>
              <w:t>互联网信息监测服务或网站运营</w:t>
            </w:r>
            <w:r>
              <w:rPr>
                <w:rFonts w:hint="eastAsia" w:ascii="仿宋_GB2312" w:hAnsi="仿宋_GB2312" w:eastAsia="仿宋_GB2312" w:cs="仿宋_GB2312"/>
                <w:b w:val="0"/>
                <w:bCs w:val="0"/>
                <w:color w:val="auto"/>
                <w:szCs w:val="21"/>
                <w:highlight w:val="none"/>
              </w:rPr>
              <w:t>的同类项目业绩，每提供1个项目得</w:t>
            </w:r>
            <w:r>
              <w:rPr>
                <w:rFonts w:hint="eastAsia" w:ascii="仿宋_GB2312" w:hAnsi="仿宋_GB2312" w:eastAsia="仿宋_GB2312" w:cs="仿宋_GB2312"/>
                <w:b w:val="0"/>
                <w:bCs w:val="0"/>
                <w:color w:val="auto"/>
                <w:szCs w:val="21"/>
                <w:highlight w:val="none"/>
                <w:lang w:val="en-US" w:eastAsia="zh-CN"/>
              </w:rPr>
              <w:t>3</w:t>
            </w:r>
            <w:r>
              <w:rPr>
                <w:rFonts w:hint="eastAsia" w:ascii="仿宋_GB2312" w:hAnsi="仿宋_GB2312" w:eastAsia="仿宋_GB2312" w:cs="仿宋_GB2312"/>
                <w:b w:val="0"/>
                <w:bCs w:val="0"/>
                <w:color w:val="auto"/>
                <w:szCs w:val="21"/>
                <w:highlight w:val="none"/>
              </w:rPr>
              <w:t>分，最高得</w:t>
            </w:r>
            <w:r>
              <w:rPr>
                <w:rFonts w:hint="eastAsia" w:ascii="仿宋_GB2312" w:hAnsi="仿宋_GB2312" w:eastAsia="仿宋_GB2312" w:cs="仿宋_GB2312"/>
                <w:b w:val="0"/>
                <w:bCs w:val="0"/>
                <w:color w:val="auto"/>
                <w:szCs w:val="21"/>
                <w:highlight w:val="none"/>
                <w:lang w:val="en-US" w:eastAsia="zh-CN"/>
              </w:rPr>
              <w:t>9分。</w:t>
            </w:r>
          </w:p>
          <w:p w14:paraId="7148488C">
            <w:pPr>
              <w:spacing w:line="240" w:lineRule="exact"/>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lang w:val="en-US" w:eastAsia="zh-CN"/>
              </w:rPr>
              <w:t>二</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评分依据：</w:t>
            </w:r>
          </w:p>
          <w:p w14:paraId="529038EE">
            <w:pPr>
              <w:spacing w:line="240" w:lineRule="exact"/>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1.要求同时提供：</w:t>
            </w:r>
          </w:p>
          <w:p w14:paraId="5CA3A9EC">
            <w:pPr>
              <w:spacing w:line="240" w:lineRule="exact"/>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（1）合同关键页（含项目主要服务内容、签订日期或履约期限、签章页）；</w:t>
            </w:r>
          </w:p>
          <w:p w14:paraId="43CB2288">
            <w:pPr>
              <w:spacing w:line="240" w:lineRule="exact"/>
              <w:jc w:val="both"/>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（2）履约评价合格（或以上）或者验收合格证明文件。履约评价合格（优、优秀或同等最高等级评价）或者验收合格证明文件需加盖合同甲方公章（或甲方业务章）。</w:t>
            </w:r>
          </w:p>
          <w:p w14:paraId="22B61F20">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val="0"/>
                <w:bCs w:val="0"/>
                <w:color w:val="auto"/>
                <w:szCs w:val="21"/>
                <w:highlight w:val="none"/>
              </w:rPr>
              <w:t>2.通过合同关键信息无法判断是否得分的，还须同时提供能证明得分的其它证明资料，如项目报告或合同甲方出具的证明文件等。</w:t>
            </w:r>
          </w:p>
        </w:tc>
      </w:tr>
      <w:tr w14:paraId="493A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862" w:hRule="atLeast"/>
          <w:tblCellSpacing w:w="0" w:type="dxa"/>
          <w:jc w:val="center"/>
        </w:trPr>
        <w:tc>
          <w:tcPr>
            <w:tcW w:w="6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8F0355">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1648C066">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p>
        </w:tc>
        <w:tc>
          <w:tcPr>
            <w:tcW w:w="1304" w:type="dxa"/>
            <w:tcBorders>
              <w:tl2br w:val="nil"/>
              <w:tr2bl w:val="nil"/>
            </w:tcBorders>
            <w:shd w:val="clear" w:color="auto" w:fill="auto"/>
            <w:vAlign w:val="center"/>
          </w:tcPr>
          <w:p w14:paraId="2BC9E976">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供应商自主知识产权产品（创新、设计）情况</w:t>
            </w:r>
          </w:p>
        </w:tc>
        <w:tc>
          <w:tcPr>
            <w:tcW w:w="1290" w:type="dxa"/>
            <w:tcBorders>
              <w:tl2br w:val="nil"/>
              <w:tr2bl w:val="nil"/>
            </w:tcBorders>
            <w:shd w:val="clear" w:color="auto" w:fill="auto"/>
            <w:vAlign w:val="center"/>
          </w:tcPr>
          <w:p w14:paraId="3F00B56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5127" w:type="dxa"/>
            <w:tcBorders>
              <w:tl2br w:val="nil"/>
              <w:tr2bl w:val="nil"/>
            </w:tcBorders>
            <w:shd w:val="clear" w:color="auto" w:fill="auto"/>
            <w:vAlign w:val="center"/>
          </w:tcPr>
          <w:p w14:paraId="06CB72E2">
            <w:pPr>
              <w:keepNext w:val="0"/>
              <w:keepLines w:val="0"/>
              <w:pageBreakBefore w:val="0"/>
              <w:numPr>
                <w:ilvl w:val="0"/>
                <w:numId w:val="1"/>
              </w:numPr>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评分内容：</w:t>
            </w:r>
          </w:p>
          <w:p w14:paraId="6780EB01">
            <w:pPr>
              <w:keepNext w:val="0"/>
              <w:keepLines w:val="0"/>
              <w:pageBreakBefore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b w:val="0"/>
                <w:bCs w:val="0"/>
                <w:color w:val="auto"/>
                <w:sz w:val="21"/>
                <w:szCs w:val="21"/>
                <w:highlight w:val="none"/>
                <w:lang w:eastAsia="zh-CN"/>
              </w:rPr>
              <w:t>投标人拥有“微信公众号数据采集类”、“媒体重点博主追踪类”、“定向数据采集类”自有知识产权证书的，每提供1个得1分，本项最高得3分；</w:t>
            </w:r>
          </w:p>
          <w:p w14:paraId="578689AE">
            <w:pPr>
              <w:keepNext w:val="0"/>
              <w:keepLines w:val="0"/>
              <w:pageBreakBefore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val="0"/>
                <w:bCs w:val="0"/>
                <w:color w:val="auto"/>
                <w:sz w:val="21"/>
                <w:szCs w:val="21"/>
                <w:highlight w:val="none"/>
                <w:lang w:eastAsia="zh-CN"/>
              </w:rPr>
              <w:t>投标人具有互联网信息智能预警推送类、网络信息内容治理类、自媒体采集类的计算机软件著作权登记证书，每提供1个证书得1分，本项最高得3分；</w:t>
            </w:r>
          </w:p>
          <w:p w14:paraId="3E121268">
            <w:pPr>
              <w:keepNext w:val="0"/>
              <w:keepLines w:val="0"/>
              <w:pageBreakBefore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3.投标人具有自主研发系统及运营的能力，得4分。</w:t>
            </w:r>
          </w:p>
          <w:p w14:paraId="601E63A4">
            <w:pPr>
              <w:keepNext w:val="0"/>
              <w:keepLines w:val="0"/>
              <w:pageBreakBefore w:val="0"/>
              <w:kinsoku/>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（二）评分依据</w:t>
            </w:r>
            <w:r>
              <w:rPr>
                <w:rFonts w:hint="eastAsia" w:ascii="仿宋_GB2312" w:hAnsi="仿宋_GB2312" w:eastAsia="仿宋_GB2312" w:cs="仿宋_GB2312"/>
                <w:color w:val="auto"/>
                <w:sz w:val="21"/>
                <w:szCs w:val="21"/>
                <w:highlight w:val="none"/>
                <w:lang w:eastAsia="zh-CN"/>
              </w:rPr>
              <w:t>：</w:t>
            </w:r>
          </w:p>
          <w:p w14:paraId="067503CC">
            <w:pPr>
              <w:keepNext w:val="0"/>
              <w:keepLines w:val="0"/>
              <w:pageBreakBefore w:val="0"/>
              <w:kinsoku/>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1.要求提供有效的产权（专利）证书</w:t>
            </w:r>
            <w:r>
              <w:rPr>
                <w:rFonts w:hint="eastAsia" w:ascii="仿宋_GB2312" w:hAnsi="仿宋_GB2312" w:eastAsia="仿宋_GB2312" w:cs="仿宋_GB2312"/>
                <w:color w:val="auto"/>
                <w:sz w:val="21"/>
                <w:szCs w:val="21"/>
                <w:highlight w:val="none"/>
                <w:lang w:val="en-US" w:eastAsia="zh-CN"/>
              </w:rPr>
              <w:t>及自主研发系统截图</w:t>
            </w:r>
            <w:r>
              <w:rPr>
                <w:rFonts w:hint="eastAsia" w:ascii="仿宋_GB2312" w:hAnsi="仿宋_GB2312" w:eastAsia="仿宋_GB2312" w:cs="仿宋_GB2312"/>
                <w:color w:val="auto"/>
                <w:sz w:val="21"/>
                <w:szCs w:val="21"/>
                <w:highlight w:val="none"/>
              </w:rPr>
              <w:t>等证明材料作为得分依据。</w:t>
            </w:r>
          </w:p>
          <w:p w14:paraId="3A8D5ADE">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2.以上资料均要求提供扫描件，原件备查。评分中出现无证明资料或专家无法凭所提供资料判断是否得分的情况，一律作不得分处理。</w:t>
            </w:r>
          </w:p>
        </w:tc>
      </w:tr>
      <w:tr w14:paraId="03EB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612" w:hRule="atLeast"/>
          <w:tblCellSpacing w:w="0" w:type="dxa"/>
          <w:jc w:val="center"/>
        </w:trPr>
        <w:tc>
          <w:tcPr>
            <w:tcW w:w="6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675B48">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2C03393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p>
        </w:tc>
        <w:tc>
          <w:tcPr>
            <w:tcW w:w="1304" w:type="dxa"/>
            <w:tcBorders>
              <w:tl2br w:val="nil"/>
              <w:tr2bl w:val="nil"/>
            </w:tcBorders>
            <w:shd w:val="clear" w:color="auto" w:fill="auto"/>
            <w:vAlign w:val="center"/>
          </w:tcPr>
          <w:p w14:paraId="4F3196D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服务网点</w:t>
            </w:r>
          </w:p>
        </w:tc>
        <w:tc>
          <w:tcPr>
            <w:tcW w:w="1290" w:type="dxa"/>
            <w:tcBorders>
              <w:tl2br w:val="nil"/>
              <w:tr2bl w:val="nil"/>
            </w:tcBorders>
            <w:shd w:val="clear" w:color="auto" w:fill="auto"/>
            <w:vAlign w:val="center"/>
          </w:tcPr>
          <w:p w14:paraId="630D13A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5</w:t>
            </w:r>
          </w:p>
        </w:tc>
        <w:tc>
          <w:tcPr>
            <w:tcW w:w="5127" w:type="dxa"/>
            <w:tcBorders>
              <w:tl2br w:val="nil"/>
              <w:tr2bl w:val="nil"/>
            </w:tcBorders>
            <w:shd w:val="clear" w:color="auto" w:fill="auto"/>
            <w:vAlign w:val="center"/>
          </w:tcPr>
          <w:p w14:paraId="5E9B68B3">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（一）评分内容：</w:t>
            </w:r>
          </w:p>
          <w:p w14:paraId="289453BE">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供应商承诺中标后提供本地经营（服务）网点的，得</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否则不得分</w:t>
            </w:r>
            <w:r>
              <w:rPr>
                <w:rFonts w:hint="eastAsia" w:ascii="仿宋_GB2312" w:hAnsi="仿宋_GB2312" w:eastAsia="仿宋_GB2312" w:cs="仿宋_GB2312"/>
                <w:color w:val="auto"/>
                <w:sz w:val="21"/>
                <w:szCs w:val="21"/>
                <w:highlight w:val="none"/>
              </w:rPr>
              <w:t>。</w:t>
            </w:r>
          </w:p>
          <w:p w14:paraId="04BA09C9">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（二）评分依据</w:t>
            </w:r>
            <w:r>
              <w:rPr>
                <w:rFonts w:hint="eastAsia" w:ascii="仿宋_GB2312" w:hAnsi="仿宋_GB2312" w:eastAsia="仿宋_GB2312" w:cs="仿宋_GB2312"/>
                <w:color w:val="auto"/>
                <w:sz w:val="21"/>
                <w:szCs w:val="21"/>
                <w:highlight w:val="none"/>
                <w:lang w:eastAsia="zh-CN"/>
              </w:rPr>
              <w:t>：</w:t>
            </w:r>
          </w:p>
          <w:p w14:paraId="1E990DC2">
            <w:pPr>
              <w:keepNext w:val="0"/>
              <w:keepLines w:val="0"/>
              <w:pageBreakBefore w:val="0"/>
              <w:kinsoku/>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要求提供承诺函作为得分依据，未按要求提供承诺函的不得分。</w:t>
            </w:r>
          </w:p>
        </w:tc>
      </w:tr>
      <w:tr w14:paraId="32F3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tcBorders>
              <w:top w:val="single" w:color="auto" w:sz="4" w:space="0"/>
              <w:tl2br w:val="nil"/>
              <w:tr2bl w:val="nil"/>
            </w:tcBorders>
            <w:shd w:val="clear" w:color="auto" w:fill="auto"/>
            <w:vAlign w:val="center"/>
          </w:tcPr>
          <w:p w14:paraId="228DE5FC">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4</w:t>
            </w:r>
          </w:p>
        </w:tc>
        <w:tc>
          <w:tcPr>
            <w:tcW w:w="3269" w:type="dxa"/>
            <w:gridSpan w:val="3"/>
            <w:tcBorders>
              <w:tl2br w:val="nil"/>
              <w:tr2bl w:val="nil"/>
            </w:tcBorders>
            <w:shd w:val="clear" w:color="auto" w:fill="auto"/>
            <w:vAlign w:val="center"/>
          </w:tcPr>
          <w:p w14:paraId="633B676D">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诚信情况</w:t>
            </w:r>
          </w:p>
        </w:tc>
        <w:tc>
          <w:tcPr>
            <w:tcW w:w="5127" w:type="dxa"/>
            <w:tcBorders>
              <w:tl2br w:val="nil"/>
              <w:tr2bl w:val="nil"/>
            </w:tcBorders>
            <w:shd w:val="clear" w:color="auto" w:fill="auto"/>
            <w:vAlign w:val="center"/>
          </w:tcPr>
          <w:p w14:paraId="20A1109B">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5</w:t>
            </w:r>
          </w:p>
        </w:tc>
      </w:tr>
      <w:tr w14:paraId="186A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restart"/>
            <w:tcBorders>
              <w:tl2br w:val="nil"/>
              <w:tr2bl w:val="nil"/>
            </w:tcBorders>
            <w:shd w:val="clear" w:color="auto" w:fill="auto"/>
            <w:vAlign w:val="center"/>
          </w:tcPr>
          <w:p w14:paraId="0EF1C568">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2F3E8EF0">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304" w:type="dxa"/>
            <w:tcBorders>
              <w:tl2br w:val="nil"/>
              <w:tr2bl w:val="nil"/>
            </w:tcBorders>
            <w:shd w:val="clear" w:color="auto" w:fill="auto"/>
            <w:vAlign w:val="center"/>
          </w:tcPr>
          <w:p w14:paraId="789533F1">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评审因素</w:t>
            </w:r>
          </w:p>
        </w:tc>
        <w:tc>
          <w:tcPr>
            <w:tcW w:w="1290" w:type="dxa"/>
            <w:tcBorders>
              <w:tl2br w:val="nil"/>
              <w:tr2bl w:val="nil"/>
            </w:tcBorders>
            <w:shd w:val="clear" w:color="auto" w:fill="auto"/>
            <w:vAlign w:val="center"/>
          </w:tcPr>
          <w:p w14:paraId="1AF73A3E">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权重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w:t>
            </w:r>
          </w:p>
        </w:tc>
        <w:tc>
          <w:tcPr>
            <w:tcW w:w="5127" w:type="dxa"/>
            <w:tcBorders>
              <w:tl2br w:val="nil"/>
              <w:tr2bl w:val="nil"/>
            </w:tcBorders>
            <w:shd w:val="clear" w:color="auto" w:fill="auto"/>
            <w:vAlign w:val="center"/>
          </w:tcPr>
          <w:p w14:paraId="71197869">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评分准则</w:t>
            </w:r>
          </w:p>
        </w:tc>
      </w:tr>
      <w:tr w14:paraId="15E9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tblCellSpacing w:w="0" w:type="dxa"/>
          <w:jc w:val="center"/>
        </w:trPr>
        <w:tc>
          <w:tcPr>
            <w:tcW w:w="676" w:type="dxa"/>
            <w:vMerge w:val="continue"/>
            <w:tcBorders>
              <w:tl2br w:val="nil"/>
              <w:tr2bl w:val="nil"/>
            </w:tcBorders>
            <w:shd w:val="clear" w:color="auto" w:fill="auto"/>
            <w:vAlign w:val="center"/>
          </w:tcPr>
          <w:p w14:paraId="431FFB12">
            <w:pPr>
              <w:keepNext w:val="0"/>
              <w:keepLines w:val="0"/>
              <w:pageBreakBefore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rPr>
            </w:pPr>
          </w:p>
        </w:tc>
        <w:tc>
          <w:tcPr>
            <w:tcW w:w="675" w:type="dxa"/>
            <w:tcBorders>
              <w:tl2br w:val="nil"/>
              <w:tr2bl w:val="nil"/>
            </w:tcBorders>
            <w:shd w:val="clear" w:color="auto" w:fill="auto"/>
            <w:vAlign w:val="center"/>
          </w:tcPr>
          <w:p w14:paraId="49AEC2E3">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04" w:type="dxa"/>
            <w:tcBorders>
              <w:tl2br w:val="nil"/>
              <w:tr2bl w:val="nil"/>
            </w:tcBorders>
            <w:shd w:val="clear" w:color="auto" w:fill="auto"/>
            <w:vAlign w:val="center"/>
          </w:tcPr>
          <w:p w14:paraId="2AB8AA05">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诚信情况</w:t>
            </w:r>
          </w:p>
        </w:tc>
        <w:tc>
          <w:tcPr>
            <w:tcW w:w="1290" w:type="dxa"/>
            <w:tcBorders>
              <w:tl2br w:val="nil"/>
              <w:tr2bl w:val="nil"/>
            </w:tcBorders>
            <w:shd w:val="clear" w:color="auto" w:fill="auto"/>
            <w:vAlign w:val="center"/>
          </w:tcPr>
          <w:p w14:paraId="0216CB0F">
            <w:pPr>
              <w:keepNext w:val="0"/>
              <w:keepLines w:val="0"/>
              <w:pageBreakBefore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5127" w:type="dxa"/>
            <w:tcBorders>
              <w:tl2br w:val="nil"/>
              <w:tr2bl w:val="nil"/>
            </w:tcBorders>
            <w:shd w:val="clear" w:color="auto" w:fill="auto"/>
            <w:vAlign w:val="center"/>
          </w:tcPr>
          <w:p w14:paraId="5C72D6D5">
            <w:pPr>
              <w:keepNext w:val="0"/>
              <w:keepLines w:val="0"/>
              <w:pageBreakBefore w:val="0"/>
              <w:kinsoku/>
              <w:wordWrap w:val="0"/>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在参与政府采购活动中出现诚信相关问题且在相关主管部门处理措施实施期限内的本项不得分，否则得满分。（须提供《诚信承诺函》，按招标文件格式要求提供，不提供不得分。如被认定提供的陈述与事实不符的，依法追究其责任。）</w:t>
            </w:r>
          </w:p>
        </w:tc>
      </w:tr>
    </w:tbl>
    <w:p w14:paraId="40AF3CDD">
      <w:pPr>
        <w:rPr>
          <w:rFonts w:hint="eastAsia" w:ascii="仿宋_GB2312" w:hAnsi="仿宋_GB2312" w:eastAsia="仿宋_GB2312" w:cs="仿宋_GB2312"/>
          <w:color w:val="auto"/>
          <w:highlight w:val="none"/>
        </w:rPr>
      </w:pPr>
      <w:bookmarkStart w:id="3" w:name="_Toc136357785"/>
      <w:bookmarkStart w:id="4" w:name="_Toc417387465"/>
      <w:bookmarkStart w:id="5" w:name="_Toc70485547"/>
      <w:r>
        <w:rPr>
          <w:rFonts w:hint="eastAsia" w:ascii="仿宋_GB2312" w:hAnsi="仿宋_GB2312" w:eastAsia="仿宋_GB2312" w:cs="仿宋_GB2312"/>
          <w:color w:val="auto"/>
          <w:highlight w:val="none"/>
        </w:rPr>
        <w:t>注：</w:t>
      </w:r>
    </w:p>
    <w:p w14:paraId="49490362">
      <w:pPr>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1.每一项的得分均不能超过该项最高分值。</w:t>
      </w:r>
    </w:p>
    <w:p w14:paraId="5EB19EF0">
      <w:pPr>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2.缺项则该项为0分或不合格为0分。</w:t>
      </w:r>
    </w:p>
    <w:p w14:paraId="17422B33">
      <w:pPr>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3.价格部分、技术部分、商务部分为针对项目具体情况设置项目，累加满分为100分。</w:t>
      </w:r>
    </w:p>
    <w:p w14:paraId="7F607932">
      <w:pPr>
        <w:numPr>
          <w:ilvl w:val="-1"/>
          <w:numId w:val="0"/>
        </w:numPr>
        <w:ind w:firstLine="42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highlight w:val="none"/>
        </w:rPr>
        <w:t>4.综合以上</w:t>
      </w:r>
      <w:r>
        <w:rPr>
          <w:rFonts w:hint="eastAsia" w:ascii="仿宋_GB2312" w:hAnsi="仿宋_GB2312" w:eastAsia="仿宋_GB2312" w:cs="仿宋_GB2312"/>
          <w:snapToGrid w:val="0"/>
          <w:color w:val="auto"/>
          <w:kern w:val="0"/>
          <w:highlight w:val="none"/>
        </w:rPr>
        <w:t>分析比较评委会将对各投标文件进行书面的量化评定，得分</w:t>
      </w:r>
      <w:r>
        <w:rPr>
          <w:rFonts w:hint="eastAsia" w:ascii="仿宋_GB2312" w:hAnsi="仿宋_GB2312" w:eastAsia="仿宋_GB2312" w:cs="仿宋_GB2312"/>
          <w:snapToGrid w:val="0"/>
          <w:color w:val="auto"/>
          <w:kern w:val="0"/>
          <w:szCs w:val="18"/>
          <w:highlight w:val="none"/>
        </w:rPr>
        <w:t>精确到小数点后两位。</w:t>
      </w:r>
    </w:p>
    <w:p w14:paraId="29159A55">
      <w:pPr>
        <w:pStyle w:val="3"/>
        <w:pageBreakBefore/>
        <w:spacing w:line="579" w:lineRule="auto"/>
        <w:jc w:val="center"/>
        <w:rPr>
          <w:rFonts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第五部分 投标文件格式</w:t>
      </w:r>
    </w:p>
    <w:p w14:paraId="7AC411F5">
      <w:pPr>
        <w:pStyle w:val="3"/>
        <w:jc w:val="center"/>
        <w:rPr>
          <w:rFonts w:ascii="方正小标宋简体" w:hAnsi="方正小标宋简体" w:eastAsia="方正小标宋简体" w:cs="方正小标宋简体"/>
          <w:b w:val="0"/>
          <w:bCs w:val="0"/>
          <w:color w:val="auto"/>
          <w:sz w:val="28"/>
          <w:szCs w:val="28"/>
          <w:highlight w:val="none"/>
          <w:lang w:val="zh-CN"/>
        </w:rPr>
        <w:sectPr>
          <w:footerReference r:id="rId5" w:type="first"/>
          <w:headerReference r:id="rId3" w:type="default"/>
          <w:footerReference r:id="rId4" w:type="default"/>
          <w:pgSz w:w="11906" w:h="16838"/>
          <w:pgMar w:top="1701" w:right="1474" w:bottom="1417" w:left="1474" w:header="851" w:footer="1077"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p w14:paraId="6467995F">
      <w:pPr>
        <w:pStyle w:val="4"/>
        <w:pageBreakBefore/>
        <w:spacing w:line="412" w:lineRule="auto"/>
        <w:jc w:val="left"/>
        <w:rPr>
          <w:color w:val="auto"/>
          <w:highlight w:val="none"/>
        </w:rPr>
      </w:pPr>
      <w:r>
        <w:rPr>
          <w:rFonts w:hint="eastAsia"/>
          <w:color w:val="auto"/>
          <w:highlight w:val="none"/>
        </w:rPr>
        <w:t>投标文件封面</w:t>
      </w:r>
    </w:p>
    <w:p w14:paraId="53C7B902">
      <w:pPr>
        <w:spacing w:line="480" w:lineRule="auto"/>
        <w:jc w:val="center"/>
        <w:rPr>
          <w:rFonts w:ascii="宋体" w:hAnsi="宋体"/>
          <w:b/>
          <w:color w:val="auto"/>
          <w:sz w:val="44"/>
          <w:szCs w:val="44"/>
          <w:highlight w:val="none"/>
        </w:rPr>
      </w:pPr>
    </w:p>
    <w:p w14:paraId="31CF9574">
      <w:pPr>
        <w:spacing w:line="480" w:lineRule="auto"/>
        <w:jc w:val="center"/>
        <w:rPr>
          <w:rFonts w:ascii="宋体" w:hAnsi="宋体"/>
          <w:b/>
          <w:color w:val="auto"/>
          <w:sz w:val="44"/>
          <w:szCs w:val="44"/>
          <w:highlight w:val="none"/>
        </w:rPr>
      </w:pPr>
    </w:p>
    <w:p w14:paraId="1A2F0A14">
      <w:pPr>
        <w:spacing w:line="480" w:lineRule="auto"/>
        <w:jc w:val="both"/>
        <w:rPr>
          <w:rFonts w:ascii="宋体" w:hAnsi="宋体"/>
          <w:b/>
          <w:color w:val="auto"/>
          <w:sz w:val="44"/>
          <w:szCs w:val="44"/>
          <w:highlight w:val="none"/>
        </w:rPr>
      </w:pPr>
    </w:p>
    <w:p w14:paraId="4C0DE53C">
      <w:pPr>
        <w:spacing w:before="240" w:line="480" w:lineRule="auto"/>
        <w:jc w:val="center"/>
        <w:rPr>
          <w:rFonts w:ascii="宋体" w:hAnsi="宋体"/>
          <w:b/>
          <w:color w:val="auto"/>
          <w:sz w:val="52"/>
          <w:szCs w:val="44"/>
          <w:highlight w:val="none"/>
        </w:rPr>
      </w:pPr>
      <w:r>
        <w:rPr>
          <w:rFonts w:hint="eastAsia" w:ascii="宋体" w:hAnsi="宋体"/>
          <w:b/>
          <w:color w:val="auto"/>
          <w:sz w:val="52"/>
          <w:szCs w:val="44"/>
          <w:highlight w:val="none"/>
        </w:rPr>
        <w:t>XX项目</w:t>
      </w:r>
    </w:p>
    <w:p w14:paraId="34004957">
      <w:pPr>
        <w:spacing w:before="240" w:line="480" w:lineRule="auto"/>
        <w:jc w:val="center"/>
        <w:rPr>
          <w:rFonts w:ascii="宋体" w:hAnsi="宋体"/>
          <w:b/>
          <w:color w:val="auto"/>
          <w:sz w:val="48"/>
          <w:szCs w:val="44"/>
          <w:highlight w:val="none"/>
        </w:rPr>
      </w:pPr>
      <w:r>
        <w:rPr>
          <w:rFonts w:hint="eastAsia" w:ascii="宋体" w:hAnsi="宋体"/>
          <w:b/>
          <w:color w:val="auto"/>
          <w:sz w:val="48"/>
          <w:szCs w:val="44"/>
          <w:highlight w:val="none"/>
        </w:rPr>
        <w:t>投标文件</w:t>
      </w:r>
    </w:p>
    <w:p w14:paraId="71C4971C">
      <w:pPr>
        <w:spacing w:before="240" w:line="480" w:lineRule="auto"/>
        <w:jc w:val="center"/>
        <w:rPr>
          <w:rFonts w:ascii="宋体" w:hAnsi="宋体"/>
          <w:b/>
          <w:color w:val="auto"/>
          <w:sz w:val="44"/>
          <w:szCs w:val="44"/>
          <w:highlight w:val="none"/>
        </w:rPr>
      </w:pPr>
      <w:r>
        <w:rPr>
          <w:rFonts w:hint="eastAsia" w:ascii="宋体" w:hAnsi="宋体"/>
          <w:b/>
          <w:color w:val="auto"/>
          <w:sz w:val="44"/>
          <w:szCs w:val="44"/>
          <w:highlight w:val="none"/>
        </w:rPr>
        <w:t>（正本）</w:t>
      </w:r>
    </w:p>
    <w:p w14:paraId="5601874D">
      <w:pPr>
        <w:spacing w:before="240"/>
        <w:rPr>
          <w:rFonts w:ascii="宋体" w:hAnsi="宋体"/>
          <w:color w:val="auto"/>
          <w:sz w:val="44"/>
          <w:szCs w:val="44"/>
          <w:highlight w:val="none"/>
        </w:rPr>
      </w:pPr>
    </w:p>
    <w:p w14:paraId="665E20D3">
      <w:pPr>
        <w:rPr>
          <w:rFonts w:ascii="宋体" w:hAnsi="宋体"/>
          <w:color w:val="auto"/>
          <w:sz w:val="44"/>
          <w:szCs w:val="44"/>
          <w:highlight w:val="none"/>
        </w:rPr>
      </w:pPr>
    </w:p>
    <w:p w14:paraId="36EE4F39">
      <w:pPr>
        <w:rPr>
          <w:rFonts w:ascii="宋体" w:hAnsi="宋体"/>
          <w:color w:val="auto"/>
          <w:sz w:val="44"/>
          <w:szCs w:val="44"/>
          <w:highlight w:val="none"/>
        </w:rPr>
      </w:pPr>
    </w:p>
    <w:p w14:paraId="0D5A8508">
      <w:pPr>
        <w:spacing w:line="480" w:lineRule="auto"/>
        <w:ind w:firstLine="1400" w:firstLineChars="500"/>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601668E7">
      <w:pPr>
        <w:spacing w:line="480" w:lineRule="auto"/>
        <w:ind w:firstLine="1400" w:firstLineChars="500"/>
        <w:rPr>
          <w:rFonts w:ascii="宋体" w:hAnsi="宋体"/>
          <w:color w:val="auto"/>
          <w:sz w:val="28"/>
          <w:szCs w:val="28"/>
          <w:highlight w:val="none"/>
          <w:u w:val="single"/>
        </w:rPr>
      </w:pPr>
      <w:r>
        <w:rPr>
          <w:rFonts w:hint="eastAsia" w:ascii="宋体" w:hAnsi="宋体"/>
          <w:color w:val="auto"/>
          <w:sz w:val="28"/>
          <w:szCs w:val="28"/>
          <w:highlight w:val="none"/>
        </w:rPr>
        <w:t>投标人（盖章）：</w:t>
      </w:r>
      <w:r>
        <w:rPr>
          <w:rFonts w:hint="eastAsia" w:ascii="宋体" w:hAnsi="宋体"/>
          <w:color w:val="auto"/>
          <w:sz w:val="28"/>
          <w:szCs w:val="28"/>
          <w:highlight w:val="none"/>
          <w:u w:val="single"/>
        </w:rPr>
        <w:t xml:space="preserve">                       </w:t>
      </w:r>
    </w:p>
    <w:p w14:paraId="09FB4009">
      <w:pPr>
        <w:spacing w:line="360" w:lineRule="auto"/>
        <w:ind w:firstLine="1400" w:firstLineChars="500"/>
        <w:rPr>
          <w:rFonts w:ascii="宋体" w:hAnsi="宋体"/>
          <w:b/>
          <w:color w:val="auto"/>
          <w:sz w:val="28"/>
          <w:szCs w:val="28"/>
          <w:highlight w:val="none"/>
        </w:rPr>
      </w:pPr>
      <w:r>
        <w:rPr>
          <w:rFonts w:hint="eastAsia" w:ascii="宋体" w:hAnsi="宋体"/>
          <w:color w:val="auto"/>
          <w:sz w:val="28"/>
          <w:szCs w:val="28"/>
          <w:highlight w:val="none"/>
        </w:rPr>
        <w:t>投标日期：    年  月  日</w:t>
      </w:r>
    </w:p>
    <w:p w14:paraId="4B63B136">
      <w:pPr>
        <w:rPr>
          <w:rFonts w:hint="eastAsia" w:ascii="方正小标宋简体" w:hAnsi="方正小标宋简体" w:eastAsia="方正小标宋简体" w:cs="方正小标宋简体"/>
          <w:color w:val="auto"/>
          <w:sz w:val="44"/>
          <w:szCs w:val="16"/>
          <w:highlight w:val="none"/>
        </w:rPr>
      </w:pPr>
      <w:r>
        <w:rPr>
          <w:rFonts w:hint="eastAsia" w:ascii="方正小标宋简体" w:hAnsi="方正小标宋简体" w:eastAsia="方正小标宋简体" w:cs="方正小标宋简体"/>
          <w:color w:val="auto"/>
          <w:sz w:val="44"/>
          <w:szCs w:val="16"/>
          <w:highlight w:val="none"/>
        </w:rPr>
        <w:br w:type="page"/>
      </w:r>
    </w:p>
    <w:p w14:paraId="39001AB0">
      <w:pPr>
        <w:jc w:val="center"/>
        <w:rPr>
          <w:color w:val="auto"/>
          <w:sz w:val="44"/>
          <w:szCs w:val="16"/>
          <w:highlight w:val="none"/>
        </w:rPr>
      </w:pPr>
      <w:r>
        <w:rPr>
          <w:rFonts w:hint="eastAsia" w:ascii="方正小标宋简体" w:hAnsi="方正小标宋简体" w:eastAsia="方正小标宋简体" w:cs="方正小标宋简体"/>
          <w:color w:val="auto"/>
          <w:sz w:val="44"/>
          <w:szCs w:val="16"/>
          <w:highlight w:val="none"/>
        </w:rPr>
        <w:t>目   录</w:t>
      </w:r>
    </w:p>
    <w:p w14:paraId="21B166FC">
      <w:pPr>
        <w:pStyle w:val="22"/>
        <w:spacing w:line="500" w:lineRule="exac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请自行</w:t>
      </w:r>
      <w:r>
        <w:rPr>
          <w:rFonts w:hint="eastAsia" w:ascii="仿宋_GB2312" w:hAnsi="仿宋_GB2312" w:eastAsia="仿宋_GB2312" w:cs="仿宋_GB2312"/>
          <w:iCs/>
          <w:color w:val="auto"/>
          <w:sz w:val="24"/>
          <w:szCs w:val="24"/>
          <w:highlight w:val="none"/>
          <w:lang w:val="en-US" w:eastAsia="zh-CN"/>
        </w:rPr>
        <w:t>参考</w:t>
      </w:r>
      <w:r>
        <w:rPr>
          <w:rFonts w:hint="eastAsia" w:ascii="仿宋_GB2312" w:hAnsi="仿宋_GB2312" w:eastAsia="仿宋_GB2312" w:cs="仿宋_GB2312"/>
          <w:iCs/>
          <w:color w:val="auto"/>
          <w:sz w:val="24"/>
          <w:szCs w:val="24"/>
          <w:highlight w:val="none"/>
        </w:rPr>
        <w:t>下列顺序生成目录，并务必标注页码</w:t>
      </w:r>
    </w:p>
    <w:p w14:paraId="3FDE091F">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一、投标报价一览表……………………………………………………………X</w:t>
      </w:r>
    </w:p>
    <w:p w14:paraId="4883C175">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二、法定代表人资格证明书……………………………………………………X</w:t>
      </w:r>
    </w:p>
    <w:p w14:paraId="07A56111">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三、法人授权委托证明书………………………………………………………X</w:t>
      </w:r>
    </w:p>
    <w:p w14:paraId="75520A97">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四、法定代表人身份复印件……………………………………………………X</w:t>
      </w:r>
    </w:p>
    <w:p w14:paraId="5B2280C0">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五、被授权人身份证复印件……………………………………………………X</w:t>
      </w:r>
    </w:p>
    <w:p w14:paraId="73DA2EFA">
      <w:pPr>
        <w:pStyle w:val="22"/>
        <w:numPr>
          <w:ilvl w:val="0"/>
          <w:numId w:val="2"/>
        </w:numPr>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项目实施方案及佐证资料…………………………………………………X</w:t>
      </w:r>
    </w:p>
    <w:p w14:paraId="3177A8FB">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七、</w:t>
      </w:r>
      <w:r>
        <w:rPr>
          <w:rFonts w:hint="eastAsia" w:ascii="仿宋_GB2312" w:hAnsi="仿宋_GB2312" w:eastAsia="仿宋_GB2312" w:cs="仿宋_GB2312"/>
          <w:color w:val="auto"/>
          <w:sz w:val="24"/>
          <w:szCs w:val="24"/>
          <w:highlight w:val="none"/>
        </w:rPr>
        <w:t>项目重点难点分析、应对措施及相关的合理化建议……………………X</w:t>
      </w:r>
    </w:p>
    <w:p w14:paraId="0F004D75">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八、</w:t>
      </w:r>
      <w:r>
        <w:rPr>
          <w:rFonts w:hint="eastAsia" w:ascii="仿宋_GB2312" w:hAnsi="仿宋_GB2312" w:eastAsia="仿宋_GB2312" w:cs="仿宋_GB2312"/>
          <w:color w:val="auto"/>
          <w:sz w:val="24"/>
          <w:szCs w:val="24"/>
          <w:highlight w:val="none"/>
        </w:rPr>
        <w:t>质量（完成时间、安全、环保）保障措施及</w:t>
      </w:r>
      <w:r>
        <w:rPr>
          <w:rFonts w:hint="eastAsia" w:ascii="仿宋_GB2312" w:hAnsi="仿宋_GB2312" w:eastAsia="仿宋_GB2312" w:cs="仿宋_GB2312"/>
          <w:color w:val="auto"/>
          <w:sz w:val="24"/>
          <w:szCs w:val="24"/>
          <w:highlight w:val="none"/>
          <w:lang w:eastAsia="zh-CN"/>
        </w:rPr>
        <w:t>方案</w:t>
      </w:r>
      <w:r>
        <w:rPr>
          <w:rFonts w:hint="eastAsia" w:ascii="仿宋_GB2312" w:hAnsi="仿宋_GB2312" w:eastAsia="仿宋_GB2312" w:cs="仿宋_GB2312"/>
          <w:color w:val="auto"/>
          <w:sz w:val="24"/>
          <w:szCs w:val="24"/>
          <w:highlight w:val="none"/>
        </w:rPr>
        <w:t>………………………X</w:t>
      </w:r>
    </w:p>
    <w:p w14:paraId="57E42653">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九、</w:t>
      </w:r>
      <w:r>
        <w:rPr>
          <w:rFonts w:hint="eastAsia" w:ascii="仿宋_GB2312" w:hAnsi="仿宋_GB2312" w:eastAsia="仿宋_GB2312" w:cs="仿宋_GB2312"/>
          <w:color w:val="auto"/>
          <w:sz w:val="24"/>
          <w:szCs w:val="24"/>
          <w:highlight w:val="none"/>
        </w:rPr>
        <w:t>项目完成（服务期满）后的服务承诺……………………………………X</w:t>
      </w:r>
    </w:p>
    <w:p w14:paraId="38495F45">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十、</w:t>
      </w:r>
      <w:r>
        <w:rPr>
          <w:rFonts w:hint="eastAsia" w:ascii="仿宋_GB2312" w:hAnsi="仿宋_GB2312" w:eastAsia="仿宋_GB2312" w:cs="仿宋_GB2312"/>
          <w:color w:val="auto"/>
          <w:sz w:val="24"/>
          <w:szCs w:val="24"/>
          <w:highlight w:val="none"/>
        </w:rPr>
        <w:t>项目主要团队成员情况……………………………………………………X</w:t>
      </w:r>
    </w:p>
    <w:p w14:paraId="341DF6EB">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十一、</w:t>
      </w:r>
      <w:r>
        <w:rPr>
          <w:rFonts w:hint="eastAsia" w:ascii="仿宋_GB2312" w:hAnsi="仿宋_GB2312" w:eastAsia="仿宋_GB2312" w:cs="仿宋_GB2312"/>
          <w:color w:val="auto"/>
          <w:sz w:val="24"/>
          <w:szCs w:val="24"/>
          <w:highlight w:val="none"/>
        </w:rPr>
        <w:t>供应商认证情况…………………………………………………………X</w:t>
      </w:r>
    </w:p>
    <w:p w14:paraId="3B86A862">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十二、</w:t>
      </w:r>
      <w:r>
        <w:rPr>
          <w:rFonts w:hint="eastAsia" w:ascii="仿宋_GB2312" w:hAnsi="仿宋_GB2312" w:eastAsia="仿宋_GB2312" w:cs="仿宋_GB2312"/>
          <w:color w:val="auto"/>
          <w:sz w:val="24"/>
          <w:szCs w:val="24"/>
          <w:highlight w:val="none"/>
        </w:rPr>
        <w:t>供应商同类项目业绩情况………………………………………………X</w:t>
      </w:r>
    </w:p>
    <w:p w14:paraId="16D3857B">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十三、</w:t>
      </w:r>
      <w:r>
        <w:rPr>
          <w:rFonts w:hint="eastAsia" w:ascii="仿宋_GB2312" w:hAnsi="仿宋_GB2312" w:eastAsia="仿宋_GB2312" w:cs="仿宋_GB2312"/>
          <w:color w:val="auto"/>
          <w:sz w:val="24"/>
          <w:szCs w:val="24"/>
          <w:highlight w:val="none"/>
        </w:rPr>
        <w:t>供应商获奖情况…………………………………………………………X</w:t>
      </w:r>
    </w:p>
    <w:p w14:paraId="67FE6F9D">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十四、</w:t>
      </w:r>
      <w:r>
        <w:rPr>
          <w:rFonts w:hint="eastAsia" w:ascii="仿宋_GB2312" w:hAnsi="仿宋_GB2312" w:eastAsia="仿宋_GB2312" w:cs="仿宋_GB2312"/>
          <w:color w:val="auto"/>
          <w:sz w:val="24"/>
          <w:szCs w:val="24"/>
          <w:highlight w:val="none"/>
        </w:rPr>
        <w:t>供应商自主知识产权产品（创新、设计）情况………………………X</w:t>
      </w:r>
    </w:p>
    <w:p w14:paraId="0FCE850B">
      <w:pPr>
        <w:pStyle w:val="22"/>
        <w:spacing w:line="500" w:lineRule="exac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十五、</w:t>
      </w:r>
      <w:r>
        <w:rPr>
          <w:rFonts w:hint="default" w:ascii="仿宋_GB2312" w:hAnsi="仿宋_GB2312" w:eastAsia="仿宋_GB2312" w:cs="仿宋_GB2312"/>
          <w:color w:val="auto"/>
          <w:sz w:val="24"/>
          <w:szCs w:val="24"/>
          <w:highlight w:val="none"/>
          <w:lang w:eastAsia="zh-CN"/>
        </w:rPr>
        <w:t>供应商基本情况表</w:t>
      </w:r>
      <w:r>
        <w:rPr>
          <w:rFonts w:hint="eastAsia" w:ascii="仿宋_GB2312" w:hAnsi="仿宋_GB2312" w:eastAsia="仿宋_GB2312" w:cs="仿宋_GB2312"/>
          <w:color w:val="auto"/>
          <w:sz w:val="24"/>
          <w:szCs w:val="24"/>
          <w:highlight w:val="none"/>
        </w:rPr>
        <w:t>………………………………………………………X</w:t>
      </w:r>
    </w:p>
    <w:p w14:paraId="3A493847">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六</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政府采购投标及履约承诺函……………………………………………X</w:t>
      </w:r>
    </w:p>
    <w:p w14:paraId="61FDC0B1">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七</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诚信承诺函………………………………………………………………X</w:t>
      </w:r>
    </w:p>
    <w:p w14:paraId="679FED66">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八</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《政府采购违法行为风险知悉确认书》………………………………X</w:t>
      </w:r>
    </w:p>
    <w:p w14:paraId="2DF486B7">
      <w:pPr>
        <w:pStyle w:val="22"/>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九</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中小企业声明函…………………………………………………………X</w:t>
      </w:r>
    </w:p>
    <w:p w14:paraId="64454DE9">
      <w:pPr>
        <w:pStyle w:val="22"/>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w:t>
      </w:r>
      <w:r>
        <w:rPr>
          <w:rFonts w:hint="eastAsia" w:ascii="仿宋_GB2312" w:hAnsi="仿宋_GB2312" w:eastAsia="仿宋_GB2312" w:cs="仿宋_GB2312"/>
          <w:color w:val="auto"/>
          <w:sz w:val="24"/>
          <w:szCs w:val="24"/>
          <w:highlight w:val="none"/>
        </w:rPr>
        <w:t>其他供应商认为应该提供的材料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含投标人资格要求相关声明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…X</w:t>
      </w:r>
    </w:p>
    <w:p w14:paraId="4704AA67">
      <w:pPr>
        <w:pStyle w:val="4"/>
        <w:pageBreakBefore/>
        <w:spacing w:line="412" w:lineRule="auto"/>
        <w:jc w:val="center"/>
        <w:rPr>
          <w:color w:val="auto"/>
          <w:highlight w:val="none"/>
        </w:rPr>
      </w:pPr>
      <w:r>
        <w:rPr>
          <w:rFonts w:hint="eastAsia" w:ascii="方正小标宋简体" w:hAnsi="方正小标宋简体" w:eastAsia="方正小标宋简体" w:cs="方正小标宋简体"/>
          <w:b w:val="0"/>
          <w:bCs w:val="0"/>
          <w:color w:val="auto"/>
          <w:highlight w:val="none"/>
        </w:rPr>
        <w:t>一、投标报价一览表</w:t>
      </w:r>
    </w:p>
    <w:p w14:paraId="090BFDDE">
      <w:pPr>
        <w:rPr>
          <w:rFonts w:ascii="宋体" w:hAnsi="宋体"/>
          <w:color w:val="auto"/>
          <w:szCs w:val="21"/>
          <w:highlight w:val="none"/>
        </w:rPr>
      </w:pPr>
    </w:p>
    <w:tbl>
      <w:tblPr>
        <w:tblStyle w:val="18"/>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2927"/>
      </w:tblGrid>
      <w:tr w14:paraId="03D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4114D51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D8FA20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383116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投标</w:t>
            </w:r>
            <w:r>
              <w:rPr>
                <w:rFonts w:hint="eastAsia" w:ascii="黑体" w:hAnsi="黑体" w:eastAsia="黑体" w:cs="黑体"/>
                <w:color w:val="auto"/>
                <w:sz w:val="28"/>
                <w:szCs w:val="28"/>
                <w:highlight w:val="none"/>
                <w:lang w:val="en-US" w:eastAsia="zh-CN"/>
              </w:rPr>
              <w:t>报价</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元</w:t>
            </w:r>
            <w:r>
              <w:rPr>
                <w:rFonts w:hint="eastAsia" w:ascii="黑体" w:hAnsi="黑体" w:eastAsia="黑体" w:cs="黑体"/>
                <w:color w:val="auto"/>
                <w:sz w:val="28"/>
                <w:szCs w:val="28"/>
                <w:highlight w:val="none"/>
                <w:lang w:eastAsia="zh-CN"/>
              </w:rPr>
              <w:t>）</w:t>
            </w:r>
          </w:p>
        </w:tc>
        <w:tc>
          <w:tcPr>
            <w:tcW w:w="2927" w:type="dxa"/>
            <w:tcBorders>
              <w:top w:val="single" w:color="auto" w:sz="4" w:space="0"/>
              <w:left w:val="single" w:color="auto" w:sz="4" w:space="0"/>
              <w:bottom w:val="single" w:color="auto" w:sz="4" w:space="0"/>
              <w:right w:val="single" w:color="auto" w:sz="4" w:space="0"/>
            </w:tcBorders>
            <w:noWrap w:val="0"/>
            <w:vAlign w:val="center"/>
          </w:tcPr>
          <w:p w14:paraId="7D2321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服务期限</w:t>
            </w:r>
            <w:r>
              <w:rPr>
                <w:rFonts w:hint="eastAsia" w:ascii="黑体" w:hAnsi="黑体" w:eastAsia="黑体" w:cs="黑体"/>
                <w:color w:val="auto"/>
                <w:sz w:val="28"/>
                <w:szCs w:val="28"/>
                <w:highlight w:val="none"/>
                <w:lang w:val="en-US" w:eastAsia="zh-CN"/>
              </w:rPr>
              <w:t>/供货期</w:t>
            </w:r>
          </w:p>
        </w:tc>
      </w:tr>
      <w:tr w14:paraId="1324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6E36730F">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hint="eastAsia" w:ascii="仿宋_GB2312" w:hAnsi="仿宋_GB2312" w:eastAsia="仿宋_GB2312" w:cs="仿宋_GB2312"/>
                <w:color w:val="auto"/>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81D278E">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hint="eastAsia" w:ascii="仿宋_GB2312" w:hAnsi="仿宋_GB2312" w:eastAsia="仿宋_GB2312" w:cs="仿宋_GB2312"/>
                <w:color w:val="auto"/>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E05731E">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hint="eastAsia" w:ascii="仿宋_GB2312" w:hAnsi="仿宋_GB2312" w:eastAsia="仿宋_GB2312" w:cs="仿宋_GB2312"/>
                <w:color w:val="auto"/>
                <w:sz w:val="28"/>
                <w:szCs w:val="28"/>
                <w:highlight w:val="none"/>
              </w:rPr>
            </w:pPr>
          </w:p>
        </w:tc>
        <w:tc>
          <w:tcPr>
            <w:tcW w:w="2927" w:type="dxa"/>
            <w:tcBorders>
              <w:top w:val="single" w:color="auto" w:sz="4" w:space="0"/>
              <w:left w:val="single" w:color="auto" w:sz="4" w:space="0"/>
              <w:bottom w:val="single" w:color="auto" w:sz="4" w:space="0"/>
              <w:right w:val="single" w:color="auto" w:sz="4" w:space="0"/>
            </w:tcBorders>
            <w:noWrap w:val="0"/>
            <w:vAlign w:val="center"/>
          </w:tcPr>
          <w:p w14:paraId="544D6C04">
            <w:pPr>
              <w:tabs>
                <w:tab w:val="left" w:pos="654"/>
                <w:tab w:val="left" w:pos="1734"/>
                <w:tab w:val="left" w:pos="2814"/>
                <w:tab w:val="left" w:pos="3894"/>
                <w:tab w:val="left" w:pos="5334"/>
                <w:tab w:val="left" w:pos="6414"/>
                <w:tab w:val="left" w:pos="7254"/>
                <w:tab w:val="left" w:pos="8574"/>
                <w:tab w:val="left" w:pos="9654"/>
              </w:tabs>
              <w:spacing w:line="240" w:lineRule="auto"/>
              <w:jc w:val="center"/>
              <w:rPr>
                <w:rFonts w:hint="eastAsia" w:ascii="仿宋_GB2312" w:hAnsi="仿宋_GB2312" w:eastAsia="仿宋_GB2312" w:cs="仿宋_GB2312"/>
                <w:color w:val="auto"/>
                <w:sz w:val="28"/>
                <w:szCs w:val="28"/>
                <w:highlight w:val="none"/>
              </w:rPr>
            </w:pPr>
          </w:p>
        </w:tc>
      </w:tr>
    </w:tbl>
    <w:p w14:paraId="6BD7C26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color w:val="auto"/>
          <w:sz w:val="28"/>
          <w:szCs w:val="28"/>
          <w:highlight w:val="none"/>
        </w:rPr>
      </w:pPr>
    </w:p>
    <w:p w14:paraId="671283DF">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投标人代表签字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p>
    <w:p w14:paraId="06C241BB">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投标供应商名称（盖章）：</w:t>
      </w:r>
      <w:r>
        <w:rPr>
          <w:rFonts w:hint="eastAsia" w:ascii="仿宋_GB2312" w:hAnsi="仿宋_GB2312" w:eastAsia="仿宋_GB2312" w:cs="仿宋_GB2312"/>
          <w:color w:val="auto"/>
          <w:sz w:val="28"/>
          <w:szCs w:val="28"/>
          <w:highlight w:val="none"/>
          <w:u w:val="single"/>
        </w:rPr>
        <w:t xml:space="preserve">                 </w:t>
      </w:r>
    </w:p>
    <w:p w14:paraId="58B6FA32">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2BD1F948">
      <w:pPr>
        <w:spacing w:line="500" w:lineRule="exact"/>
        <w:rPr>
          <w:rFonts w:hint="eastAsia" w:ascii="仿宋_GB2312" w:hAnsi="仿宋_GB2312" w:eastAsia="仿宋_GB2312" w:cs="仿宋_GB2312"/>
          <w:color w:val="auto"/>
          <w:sz w:val="28"/>
          <w:szCs w:val="28"/>
          <w:highlight w:val="none"/>
        </w:rPr>
      </w:pPr>
    </w:p>
    <w:p w14:paraId="66EF2C04">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注：1.本次报价采取投标总价报价。 </w:t>
      </w:r>
    </w:p>
    <w:p w14:paraId="2971F536">
      <w:pPr>
        <w:spacing w:line="500" w:lineRule="exact"/>
        <w:ind w:firstLine="560" w:firstLineChars="200"/>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
        </w:rPr>
        <w:t>.</w:t>
      </w:r>
      <w:r>
        <w:rPr>
          <w:rFonts w:hint="eastAsia" w:ascii="仿宋_GB2312" w:hAnsi="仿宋_GB2312" w:eastAsia="仿宋_GB2312" w:cs="仿宋_GB2312"/>
          <w:color w:val="auto"/>
          <w:sz w:val="28"/>
          <w:szCs w:val="28"/>
          <w:highlight w:val="none"/>
        </w:rPr>
        <w:t>所有报价按人民币填写，并列明总价和明细价。投标总价，即采购人支付给中标人的本次</w:t>
      </w:r>
      <w:r>
        <w:rPr>
          <w:rFonts w:hint="eastAsia" w:ascii="仿宋_GB2312" w:hAnsi="仿宋_GB2312" w:eastAsia="仿宋_GB2312" w:cs="仿宋_GB2312"/>
          <w:color w:val="auto"/>
          <w:sz w:val="28"/>
          <w:szCs w:val="28"/>
          <w:highlight w:val="none"/>
          <w:lang w:val="en-US" w:eastAsia="zh-CN"/>
        </w:rPr>
        <w:t>公开征集文件</w:t>
      </w:r>
      <w:r>
        <w:rPr>
          <w:rFonts w:hint="eastAsia" w:ascii="仿宋_GB2312" w:hAnsi="仿宋_GB2312" w:eastAsia="仿宋_GB2312" w:cs="仿宋_GB2312"/>
          <w:color w:val="auto"/>
          <w:sz w:val="28"/>
          <w:szCs w:val="28"/>
          <w:highlight w:val="none"/>
        </w:rPr>
        <w:t>的物、满足需求书、完成整个合同的所有费用。明细价需分项列出所需的监理服务的全部费用。</w:t>
      </w:r>
    </w:p>
    <w:p w14:paraId="78493BBE">
      <w:pPr>
        <w:pStyle w:val="16"/>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p>
    <w:p w14:paraId="090363B3">
      <w:pPr>
        <w:pStyle w:val="16"/>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p>
    <w:p w14:paraId="6D9C9CC9">
      <w:pPr>
        <w:pStyle w:val="16"/>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p>
    <w:p w14:paraId="52BB266F">
      <w:pPr>
        <w:pStyle w:val="16"/>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p>
    <w:p w14:paraId="7BE68774">
      <w:pPr>
        <w:pStyle w:val="16"/>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p>
    <w:p w14:paraId="5EEE04B0">
      <w:pPr>
        <w:pStyle w:val="16"/>
        <w:snapToGrid w:val="0"/>
        <w:spacing w:before="0" w:after="0" w:line="240" w:lineRule="auto"/>
        <w:ind w:firstLine="0" w:firstLineChars="0"/>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16173B3B">
      <w:pPr>
        <w:pStyle w:val="4"/>
        <w:pageBreakBefore/>
        <w:snapToGrid w:val="0"/>
        <w:spacing w:before="0" w:after="0" w:line="412" w:lineRule="auto"/>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十五、供应商基本情况表</w:t>
      </w:r>
    </w:p>
    <w:p w14:paraId="48B0EA60">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w:t>
      </w:r>
      <w:r>
        <w:rPr>
          <w:rFonts w:hint="default"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19"/>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850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363ADBB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553" w:type="dxa"/>
            <w:gridSpan w:val="2"/>
            <w:noWrap w:val="0"/>
            <w:vAlign w:val="center"/>
          </w:tcPr>
          <w:p w14:paraId="4B1D11A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254E37A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2985" w:type="dxa"/>
            <w:gridSpan w:val="2"/>
            <w:noWrap w:val="0"/>
            <w:vAlign w:val="center"/>
          </w:tcPr>
          <w:p w14:paraId="31756FCD">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234D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720B3B">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553" w:type="dxa"/>
            <w:gridSpan w:val="2"/>
            <w:noWrap w:val="0"/>
            <w:vAlign w:val="center"/>
          </w:tcPr>
          <w:p w14:paraId="2D3EA2C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40C51E1B">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2985" w:type="dxa"/>
            <w:gridSpan w:val="2"/>
            <w:noWrap w:val="0"/>
            <w:vAlign w:val="center"/>
          </w:tcPr>
          <w:p w14:paraId="5847DCD7">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1980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C0639D5">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14:paraId="38D5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C0D37CB">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6BF5A3DA">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47" w:type="dxa"/>
            <w:tcBorders>
              <w:bottom w:val="single" w:color="auto" w:sz="4" w:space="0"/>
            </w:tcBorders>
            <w:noWrap w:val="0"/>
            <w:vAlign w:val="center"/>
          </w:tcPr>
          <w:p w14:paraId="45F91B48">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663383A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37E1B86C">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14:paraId="607348DE">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14:paraId="5855BA69">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14:paraId="2A26CA13">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14:paraId="62B4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41CEBF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436D976">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5E8CD9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8FFBB7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2F93F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EAC9D29">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71D7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9ACA011">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9ADBD9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325B7A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58F112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20158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A87DB17">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0DED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57368B89">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282" w:type="dxa"/>
            <w:gridSpan w:val="2"/>
            <w:tcBorders>
              <w:top w:val="single" w:color="auto" w:sz="4" w:space="0"/>
            </w:tcBorders>
            <w:noWrap w:val="0"/>
            <w:vAlign w:val="center"/>
          </w:tcPr>
          <w:p w14:paraId="6D7A9A18">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52EFE3A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14:paraId="092CE291">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tcBorders>
            <w:noWrap w:val="0"/>
            <w:vAlign w:val="center"/>
          </w:tcPr>
          <w:p w14:paraId="47E6DA0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tcBorders>
            <w:noWrap w:val="0"/>
            <w:vAlign w:val="center"/>
          </w:tcPr>
          <w:p w14:paraId="2C4EC91C">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1EC1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17608923">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282" w:type="dxa"/>
            <w:gridSpan w:val="2"/>
            <w:noWrap w:val="0"/>
            <w:vAlign w:val="center"/>
          </w:tcPr>
          <w:p w14:paraId="5DB4139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F76714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47765FC3">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335BE94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2E5DBE0A">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5397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9F84BFE">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282" w:type="dxa"/>
            <w:gridSpan w:val="2"/>
            <w:noWrap w:val="0"/>
            <w:vAlign w:val="center"/>
          </w:tcPr>
          <w:p w14:paraId="02AC2D73">
            <w:pPr>
              <w:pStyle w:val="7"/>
              <w:snapToGrid w:val="0"/>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CF5CDB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3BB2C071">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0BACB04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2A8DE18B">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6BDB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2A025C0">
            <w:pPr>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7790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583D90FD">
            <w:pPr>
              <w:jc w:val="center"/>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14:paraId="7FB1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4E2969A4">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4B23DA8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5C0BE28A">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796C98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3A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DEB2FBC">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F3D8D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A9378A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AD836D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B9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7671145">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4D8E92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69222D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C755B8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4B8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969BBF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26DF4810">
      <w:pPr>
        <w:spacing w:line="579" w:lineRule="exact"/>
        <w:rPr>
          <w:color w:val="auto"/>
          <w:highlight w:val="none"/>
        </w:rPr>
        <w:sectPr>
          <w:headerReference r:id="rId6" w:type="default"/>
          <w:footerReference r:id="rId7" w:type="default"/>
          <w:pgSz w:w="11906" w:h="16838"/>
          <w:pgMar w:top="1701" w:right="1474" w:bottom="1417" w:left="1474" w:header="851" w:footer="1077" w:gutter="0"/>
          <w:pgBorders>
            <w:top w:val="none" w:sz="0" w:space="0"/>
            <w:left w:val="none" w:sz="0" w:space="0"/>
            <w:bottom w:val="none" w:sz="0" w:space="0"/>
            <w:right w:val="none" w:sz="0" w:space="0"/>
          </w:pgBorders>
          <w:pgNumType w:fmt="numberInDash"/>
          <w:cols w:space="720" w:num="1"/>
          <w:docGrid w:type="lines" w:linePitch="312" w:charSpace="0"/>
        </w:sectPr>
      </w:pPr>
    </w:p>
    <w:p w14:paraId="2AC5CEC0">
      <w:pPr>
        <w:pStyle w:val="4"/>
        <w:pageBreakBefore w:val="0"/>
        <w:spacing w:line="412" w:lineRule="auto"/>
        <w:ind w:firstLine="0" w:firstLineChars="0"/>
        <w:jc w:val="center"/>
        <w:rPr>
          <w:rFonts w:hint="eastAsia" w:ascii="方正小标宋简体" w:hAnsi="方正小标宋简体" w:eastAsia="方正小标宋简体" w:cs="方正小标宋简体"/>
          <w:b w:val="0"/>
          <w:bCs w:val="0"/>
          <w:color w:val="auto"/>
          <w:sz w:val="32"/>
          <w:highlight w:val="none"/>
        </w:rPr>
      </w:pPr>
      <w:r>
        <w:rPr>
          <w:rFonts w:hint="eastAsia" w:ascii="方正小标宋简体" w:hAnsi="方正小标宋简体" w:eastAsia="方正小标宋简体" w:cs="方正小标宋简体"/>
          <w:b w:val="0"/>
          <w:bCs w:val="0"/>
          <w:color w:val="auto"/>
          <w:sz w:val="32"/>
          <w:highlight w:val="none"/>
          <w:lang w:val="en-US" w:eastAsia="zh-CN"/>
        </w:rPr>
        <w:t>十六、</w:t>
      </w:r>
      <w:r>
        <w:rPr>
          <w:rFonts w:hint="eastAsia" w:ascii="方正小标宋简体" w:hAnsi="方正小标宋简体" w:eastAsia="方正小标宋简体" w:cs="方正小标宋简体"/>
          <w:b w:val="0"/>
          <w:bCs w:val="0"/>
          <w:color w:val="auto"/>
          <w:sz w:val="32"/>
          <w:highlight w:val="none"/>
        </w:rPr>
        <w:t>政府采购投标及履约承诺函</w:t>
      </w:r>
    </w:p>
    <w:p w14:paraId="5254CD9F">
      <w:pPr>
        <w:spacing w:line="500" w:lineRule="exact"/>
        <w:ind w:firstLine="0" w:firstLineChars="0"/>
        <w:rPr>
          <w:rFonts w:hint="eastAsia" w:ascii="仿宋_GB2312" w:hAnsi="仿宋_GB2312" w:eastAsia="仿宋_GB2312" w:cs="仿宋_GB2312"/>
          <w:color w:val="auto"/>
          <w:sz w:val="28"/>
          <w:szCs w:val="28"/>
          <w:highlight w:val="none"/>
          <w:lang w:val="en-US" w:eastAsia="zh-CN"/>
        </w:rPr>
      </w:pPr>
      <w:bookmarkStart w:id="6" w:name="_Hlk72257530"/>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none"/>
          <w:lang w:val="en-US" w:eastAsia="zh-CN"/>
        </w:rPr>
        <w:t>深圳市退役军人事务局</w:t>
      </w:r>
    </w:p>
    <w:p w14:paraId="44168920">
      <w:pPr>
        <w:spacing w:line="480" w:lineRule="exact"/>
        <w:ind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我单位承诺：</w:t>
      </w:r>
    </w:p>
    <w:p w14:paraId="32324373">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1.我单位参与本项目所投标（响应）的货物、工程或服务，不存在侵犯知识产权的情况；已知悉并同意中标（成交）结果信息公示（公开）的内容。</w:t>
      </w:r>
    </w:p>
    <w:p w14:paraId="4831DB38">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2.我单位参与本项目投标前三年内，在经营活动中没有重大违法记录。</w:t>
      </w:r>
    </w:p>
    <w:p w14:paraId="4C544183">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3.我单位参与本项目政府采购活动时不存在被有关部门禁止参与政府采购活动且在有效期内的情况。</w:t>
      </w:r>
    </w:p>
    <w:p w14:paraId="7FF07A17">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4.我单位具备《中华人民共和国政府采购法》第二十二条第一款规定的六项条件。</w:t>
      </w:r>
    </w:p>
    <w:p w14:paraId="04BEB5F9">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.我单位未被列入失信被执行人、重大税收违法失信主体、政府采购严重违法失信行为记录名单。</w:t>
      </w:r>
    </w:p>
    <w:p w14:paraId="65F143F9">
      <w:pPr>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6.我单位不存在“与其他投标供应商的法定代表人、投标授权代表人、项目负责人（如有）为同一人或在同一单位缴纳社会保险，或存在直接控股、管理关系”的情形。</w:t>
      </w:r>
    </w:p>
    <w:p w14:paraId="61293351">
      <w:pPr>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7.参与本项目近三年内，我单位、单位法定代表人均无行贿犯罪记录。</w:t>
      </w:r>
    </w:p>
    <w:p w14:paraId="19E2713E">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bookmarkStart w:id="7" w:name="_Hlk72587269"/>
      <w:bookmarkStart w:id="8" w:name="_Hlk72587299"/>
      <w:r>
        <w:rPr>
          <w:rFonts w:hint="eastAsia" w:ascii="仿宋_GB2312" w:hAnsi="仿宋_GB2312" w:eastAsia="仿宋_GB2312" w:cs="仿宋_GB2312"/>
          <w:color w:val="auto"/>
          <w:sz w:val="28"/>
          <w:szCs w:val="28"/>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7"/>
      <w:r>
        <w:rPr>
          <w:rFonts w:hint="eastAsia" w:ascii="仿宋_GB2312" w:hAnsi="仿宋_GB2312" w:eastAsia="仿宋_GB2312" w:cs="仿宋_GB2312"/>
          <w:color w:val="auto"/>
          <w:sz w:val="28"/>
          <w:szCs w:val="28"/>
          <w:highlight w:val="none"/>
        </w:rPr>
        <w:t>。</w:t>
      </w:r>
    </w:p>
    <w:bookmarkEnd w:id="8"/>
    <w:p w14:paraId="2FE1ACAF">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EBEE4AB">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14A54F87">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DEA3837">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.我单位承诺未以联合体投标，未选用进口产品参与投标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中标后项目不转包，未经采购人同意不进行分包。</w:t>
      </w:r>
    </w:p>
    <w:p w14:paraId="0298C421">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64CAF2">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.我单位承诺未为本项目提供整体设计、规范编制或者管理、监理、检测等服务。</w:t>
      </w:r>
    </w:p>
    <w:p w14:paraId="25ED2B16">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15.我单位承诺，参与本项目投标前三年内，未受过环境监测行政主管部门行政处罚或未有被政府相关部门（如质检部门等）、媒体通报弄虚作假等情形。</w:t>
      </w:r>
    </w:p>
    <w:p w14:paraId="014972A7">
      <w:pPr>
        <w:spacing w:before="0" w:beforeLines="-2147483648" w:after="0" w:afterLines="-2147483648"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以上承诺，如有违反，愿依照国家相关法律法规处理，并承担由此给采购人带来的损失。</w:t>
      </w:r>
    </w:p>
    <w:p w14:paraId="6EF2A25A">
      <w:pPr>
        <w:spacing w:before="0" w:beforeLines="-2147483648" w:after="0" w:afterLines="-2147483648" w:line="480" w:lineRule="exact"/>
        <w:ind w:firstLine="560" w:firstLineChars="200"/>
        <w:rPr>
          <w:rFonts w:hint="eastAsia" w:ascii="仿宋_GB2312" w:hAnsi="仿宋_GB2312" w:eastAsia="仿宋_GB2312" w:cs="仿宋_GB2312"/>
          <w:color w:val="auto"/>
          <w:sz w:val="28"/>
          <w:szCs w:val="28"/>
          <w:highlight w:val="none"/>
        </w:rPr>
      </w:pPr>
    </w:p>
    <w:p w14:paraId="7B415682">
      <w:pPr>
        <w:spacing w:before="0" w:beforeLines="-2147483648" w:after="0" w:afterLines="-2147483648" w:line="500" w:lineRule="exact"/>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p>
    <w:p w14:paraId="2A0FA6B5">
      <w:pPr>
        <w:spacing w:line="500" w:lineRule="exact"/>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日期：</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rPr>
        <w:t>日</w:t>
      </w:r>
    </w:p>
    <w:bookmarkEnd w:id="6"/>
    <w:p w14:paraId="05F4EB73">
      <w:pPr>
        <w:pStyle w:val="4"/>
        <w:pageBreakBefore/>
        <w:spacing w:line="412" w:lineRule="auto"/>
        <w:jc w:val="center"/>
        <w:rPr>
          <w:rFonts w:hint="eastAsia" w:ascii="方正小标宋简体" w:hAnsi="方正小标宋简体" w:eastAsia="方正小标宋简体" w:cs="方正小标宋简体"/>
          <w:b w:val="0"/>
          <w:bCs w:val="0"/>
          <w:color w:val="auto"/>
          <w:highlight w:val="none"/>
        </w:rPr>
      </w:pPr>
      <w:r>
        <w:rPr>
          <w:rFonts w:hint="eastAsia" w:ascii="方正小标宋简体" w:hAnsi="方正小标宋简体" w:eastAsia="方正小标宋简体" w:cs="方正小标宋简体"/>
          <w:b w:val="0"/>
          <w:bCs w:val="0"/>
          <w:color w:val="auto"/>
          <w:highlight w:val="none"/>
          <w:lang w:val="en-US" w:eastAsia="zh-CN"/>
        </w:rPr>
        <w:t>十七</w:t>
      </w:r>
      <w:r>
        <w:rPr>
          <w:rFonts w:hint="eastAsia" w:ascii="方正小标宋简体" w:hAnsi="方正小标宋简体" w:eastAsia="方正小标宋简体" w:cs="方正小标宋简体"/>
          <w:b w:val="0"/>
          <w:bCs w:val="0"/>
          <w:color w:val="auto"/>
          <w:highlight w:val="none"/>
        </w:rPr>
        <w:t>、诚信承诺函</w:t>
      </w:r>
    </w:p>
    <w:p w14:paraId="401279C3">
      <w:pPr>
        <w:widowControl/>
        <w:wordWrap w:val="0"/>
        <w:spacing w:afterLines="0" w:line="500" w:lineRule="exact"/>
        <w:jc w:val="left"/>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bidi="ar"/>
        </w:rPr>
        <w:t>致深圳市退役军人事务局：</w:t>
      </w:r>
    </w:p>
    <w:p w14:paraId="4F2D7F47">
      <w:pPr>
        <w:spacing w:afterLines="0"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bidi="ar"/>
        </w:rPr>
        <w:t xml:space="preserve"> </w:t>
      </w:r>
    </w:p>
    <w:p w14:paraId="637B749A">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我公司承诺近三年在采购投标活动中，不存在以下情形：</w:t>
      </w:r>
    </w:p>
    <w:p w14:paraId="21F253CC">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（一）被纪检监察部门立案调查，违法违规事实成立的；</w:t>
      </w:r>
    </w:p>
    <w:p w14:paraId="4E6B680C">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（二）未按本条例规定签订、履行采购合同，造成严重后果的；</w:t>
      </w:r>
    </w:p>
    <w:p w14:paraId="05EBA21F">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（三）隐瞒真实情况，提供虚假资料的；</w:t>
      </w:r>
    </w:p>
    <w:p w14:paraId="4C6A2500">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（四）以非法手段排斥其他供应商参与竞争的；</w:t>
      </w:r>
    </w:p>
    <w:p w14:paraId="27A5BCC5">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（五）与其他采购参加人串通投标的；</w:t>
      </w:r>
    </w:p>
    <w:p w14:paraId="7921A115">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（六）在采购活动中应当回避而未回避的； </w:t>
      </w:r>
    </w:p>
    <w:p w14:paraId="324B1216">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（七）恶意投诉的； </w:t>
      </w:r>
    </w:p>
    <w:p w14:paraId="06A7DD44">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（八）向采购项目相关人行贿或者提供其他不当利益的； </w:t>
      </w:r>
    </w:p>
    <w:p w14:paraId="5975DD72">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（九）阻碍、抗拒主管部门监督检查的；</w:t>
      </w:r>
    </w:p>
    <w:p w14:paraId="67E93AC0">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（十）履约检查不合格或者评价为差的；</w:t>
      </w:r>
    </w:p>
    <w:p w14:paraId="72DA076C">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（十一）主管部门认定的其他情形。</w:t>
      </w:r>
    </w:p>
    <w:p w14:paraId="4D5E0F3B">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如我司存在以上情形，被有关主管部门按照《深圳经济特区政府采购条例》</w:t>
      </w:r>
      <w:r>
        <w:rPr>
          <w:rFonts w:hint="eastAsia" w:ascii="仿宋_GB2312" w:hAnsi="仿宋_GB2312" w:eastAsia="仿宋_GB2312" w:cs="仿宋_GB2312"/>
          <w:color w:val="auto"/>
          <w:sz w:val="28"/>
          <w:szCs w:val="28"/>
          <w:highlight w:val="none"/>
          <w:lang w:eastAsia="zh-CN"/>
        </w:rPr>
        <w:t>第五十七条</w:t>
      </w:r>
      <w:r>
        <w:rPr>
          <w:rFonts w:hint="eastAsia" w:ascii="仿宋_GB2312" w:hAnsi="仿宋_GB2312" w:eastAsia="仿宋_GB2312" w:cs="仿宋_GB2312"/>
          <w:color w:val="auto"/>
          <w:sz w:val="28"/>
          <w:szCs w:val="28"/>
          <w:highlight w:val="none"/>
        </w:rPr>
        <w:t>处罚</w:t>
      </w:r>
      <w:r>
        <w:rPr>
          <w:rFonts w:hint="eastAsia" w:ascii="仿宋_GB2312" w:hAnsi="仿宋_GB2312" w:eastAsia="仿宋_GB2312" w:cs="仿宋_GB2312"/>
          <w:color w:val="auto"/>
          <w:sz w:val="28"/>
          <w:szCs w:val="28"/>
          <w:highlight w:val="none"/>
          <w:lang w:eastAsia="zh-CN"/>
        </w:rPr>
        <w:t>，或者</w:t>
      </w:r>
      <w:r>
        <w:rPr>
          <w:rFonts w:hint="eastAsia" w:ascii="仿宋_GB2312" w:hAnsi="仿宋_GB2312" w:eastAsia="仿宋_GB2312" w:cs="仿宋_GB2312"/>
          <w:color w:val="auto"/>
          <w:sz w:val="28"/>
          <w:szCs w:val="28"/>
          <w:highlight w:val="none"/>
        </w:rPr>
        <w:t>上述行为超出法定追诉时效未被追诉</w:t>
      </w:r>
      <w:r>
        <w:rPr>
          <w:rFonts w:hint="eastAsia" w:ascii="仿宋_GB2312" w:hAnsi="仿宋_GB2312" w:eastAsia="仿宋_GB2312" w:cs="仿宋_GB2312"/>
          <w:color w:val="auto"/>
          <w:sz w:val="28"/>
          <w:szCs w:val="28"/>
          <w:highlight w:val="none"/>
          <w:lang w:eastAsia="zh-CN"/>
        </w:rPr>
        <w:t>，或者</w:t>
      </w:r>
      <w:r>
        <w:rPr>
          <w:rFonts w:hint="eastAsia" w:ascii="仿宋_GB2312" w:hAnsi="仿宋_GB2312" w:eastAsia="仿宋_GB2312" w:cs="仿宋_GB2312"/>
          <w:color w:val="auto"/>
          <w:sz w:val="28"/>
          <w:szCs w:val="28"/>
          <w:highlight w:val="none"/>
        </w:rPr>
        <w:t>上述情节轻微未给予禁止参加政府采购的行政处罚，我司自愿承担虚假应标以及其他一切不利的法律后果。</w:t>
      </w:r>
    </w:p>
    <w:p w14:paraId="7E1EEC83">
      <w:pPr>
        <w:widowControl/>
        <w:spacing w:after="0" w:afterLines="0"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14:paraId="225EF702">
      <w:pPr>
        <w:pStyle w:val="9"/>
        <w:spacing w:before="0" w:beforeAutospacing="0" w:after="0" w:afterLines="0" w:line="500" w:lineRule="exact"/>
        <w:rPr>
          <w:rFonts w:hint="eastAsia" w:ascii="仿宋_GB2312" w:hAnsi="仿宋_GB2312" w:eastAsia="仿宋_GB2312" w:cs="仿宋_GB2312"/>
          <w:color w:val="auto"/>
          <w:sz w:val="28"/>
          <w:szCs w:val="28"/>
          <w:highlight w:val="none"/>
        </w:rPr>
      </w:pPr>
    </w:p>
    <w:p w14:paraId="6BD0FF9F">
      <w:pPr>
        <w:spacing w:after="0" w:afterLines="0" w:line="500" w:lineRule="exact"/>
        <w:ind w:firstLine="5320" w:firstLineChars="19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bidi="ar"/>
        </w:rPr>
        <w:t>投标单位：</w:t>
      </w:r>
      <w:r>
        <w:rPr>
          <w:rFonts w:hint="eastAsia" w:ascii="仿宋_GB2312" w:hAnsi="仿宋_GB2312" w:eastAsia="仿宋_GB2312" w:cs="仿宋_GB2312"/>
          <w:color w:val="auto"/>
          <w:sz w:val="28"/>
          <w:szCs w:val="28"/>
          <w:highlight w:val="none"/>
          <w:lang w:val="en-US" w:eastAsia="zh-CN" w:bidi="ar"/>
        </w:rPr>
        <w:t xml:space="preserve"> </w:t>
      </w:r>
      <w:r>
        <w:rPr>
          <w:rFonts w:hint="eastAsia" w:ascii="仿宋_GB2312" w:hAnsi="仿宋_GB2312" w:eastAsia="仿宋_GB2312" w:cs="仿宋_GB2312"/>
          <w:color w:val="auto"/>
          <w:sz w:val="28"/>
          <w:szCs w:val="28"/>
          <w:highlight w:val="none"/>
          <w:lang w:bidi="ar"/>
        </w:rPr>
        <w:t xml:space="preserve"> </w:t>
      </w:r>
    </w:p>
    <w:p w14:paraId="06AC3AC8">
      <w:pPr>
        <w:widowControl/>
        <w:spacing w:after="0" w:afterLines="0" w:line="500" w:lineRule="exact"/>
        <w:ind w:firstLine="5320" w:firstLineChars="1900"/>
        <w:jc w:val="left"/>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日期：    年   月   日</w:t>
      </w:r>
    </w:p>
    <w:p w14:paraId="6FA50F50">
      <w:pPr>
        <w:widowControl/>
        <w:spacing w:after="0" w:afterLines="0" w:line="500" w:lineRule="exact"/>
        <w:ind w:firstLine="5320" w:firstLineChars="1900"/>
        <w:jc w:val="left"/>
        <w:rPr>
          <w:rFonts w:hint="eastAsia" w:ascii="仿宋_GB2312" w:hAnsi="仿宋_GB2312" w:eastAsia="仿宋_GB2312" w:cs="仿宋_GB2312"/>
          <w:color w:val="auto"/>
          <w:sz w:val="28"/>
          <w:szCs w:val="28"/>
          <w:highlight w:val="none"/>
          <w:lang w:bidi="ar"/>
        </w:rPr>
      </w:pPr>
    </w:p>
    <w:p w14:paraId="2B01D896">
      <w:pPr>
        <w:widowControl/>
        <w:spacing w:after="0" w:afterLines="0" w:line="500" w:lineRule="exact"/>
        <w:ind w:firstLine="3990" w:firstLineChars="1900"/>
        <w:jc w:val="left"/>
        <w:rPr>
          <w:rFonts w:ascii="宋体" w:hAnsi="宋体" w:cs="宋体"/>
          <w:color w:val="auto"/>
          <w:sz w:val="24"/>
          <w:szCs w:val="24"/>
          <w:highlight w:val="none"/>
        </w:rPr>
      </w:pPr>
      <w:r>
        <w:rPr>
          <w:rFonts w:hAnsi="宋体"/>
          <w:color w:val="auto"/>
          <w:highlight w:val="none"/>
        </w:rPr>
        <w:br w:type="page"/>
      </w:r>
    </w:p>
    <w:p w14:paraId="7A63A2BE">
      <w:pPr>
        <w:autoSpaceDE w:val="0"/>
        <w:autoSpaceDN w:val="0"/>
        <w:adjustRightInd w:val="0"/>
        <w:spacing w:line="579" w:lineRule="exact"/>
        <w:ind w:firstLine="0" w:firstLineChars="0"/>
        <w:jc w:val="center"/>
        <w:rPr>
          <w:rFonts w:ascii="仿宋_GB2312" w:hAnsi="仿宋_GB2312" w:eastAsia="仿宋_GB2312" w:cs="仿宋_GB2312"/>
          <w:color w:val="auto"/>
          <w:sz w:val="32"/>
          <w:szCs w:val="32"/>
          <w:highlight w:val="none"/>
        </w:rPr>
      </w:pPr>
      <w:r>
        <w:rPr>
          <w:rFonts w:hint="eastAsia" w:ascii="方正小标宋_GBK" w:hAnsi="方正小标宋_GBK" w:eastAsia="方正小标宋_GBK" w:cs="方正小标宋_GBK"/>
          <w:color w:val="auto"/>
          <w:kern w:val="0"/>
          <w:sz w:val="32"/>
          <w:szCs w:val="32"/>
          <w:highlight w:val="none"/>
          <w:lang w:val="en-US" w:eastAsia="zh-CN"/>
        </w:rPr>
        <w:t>十八</w:t>
      </w:r>
      <w:r>
        <w:rPr>
          <w:rFonts w:hint="eastAsia" w:ascii="方正小标宋_GBK" w:hAnsi="方正小标宋_GBK" w:eastAsia="方正小标宋_GBK" w:cs="方正小标宋_GBK"/>
          <w:color w:val="auto"/>
          <w:kern w:val="0"/>
          <w:sz w:val="32"/>
          <w:szCs w:val="32"/>
          <w:highlight w:val="none"/>
        </w:rPr>
        <w:t>、政府采购违法行为风险知悉确认书</w:t>
      </w:r>
    </w:p>
    <w:p w14:paraId="39977B95">
      <w:pPr>
        <w:spacing w:before="0" w:beforeLines="0" w:line="50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14:paraId="45344A93">
      <w:pPr>
        <w:spacing w:beforeLines="0" w:line="50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14:paraId="61CDB6D9">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14:paraId="0FA0C3C5">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14:paraId="73114762">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14:paraId="6C910708">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14:paraId="512B237E">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14:paraId="0EBA0642">
      <w:pPr>
        <w:spacing w:beforeLines="0" w:line="50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14:paraId="0BBE13A2">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14:paraId="223D2B45">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w:t>
      </w:r>
      <w:r>
        <w:rPr>
          <w:rFonts w:hint="eastAsia" w:ascii="仿宋_GB2312" w:hAnsi="仿宋_GB2312" w:eastAsia="仿宋_GB2312" w:cs="仿宋_GB2312"/>
          <w:color w:val="auto"/>
          <w:sz w:val="28"/>
          <w:szCs w:val="28"/>
          <w:highlight w:val="none"/>
          <w:lang w:eastAsia="zh-CN"/>
        </w:rPr>
        <w:t>属于</w:t>
      </w:r>
      <w:r>
        <w:rPr>
          <w:rFonts w:hint="eastAsia" w:ascii="仿宋_GB2312" w:hAnsi="仿宋_GB2312" w:eastAsia="仿宋_GB2312" w:cs="仿宋_GB2312"/>
          <w:color w:val="auto"/>
          <w:sz w:val="28"/>
          <w:szCs w:val="28"/>
          <w:highlight w:val="none"/>
        </w:rPr>
        <w:t>同一单位或者在同一单位缴纳社会保险。</w:t>
      </w:r>
    </w:p>
    <w:p w14:paraId="403F922D">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14:paraId="386BF833">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14:paraId="1AAE1A3A">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14:paraId="62B8E9AE">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14:paraId="1AD0A6C4">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（七）不同投标人的投标报价呈规律性差异。</w:t>
      </w:r>
    </w:p>
    <w:p w14:paraId="0D1FFA24">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（八）不同投标人的投标保证金从同一单位或者个人的账户转出。</w:t>
      </w:r>
    </w:p>
    <w:p w14:paraId="73309C7C">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w:t>
      </w:r>
      <w:r>
        <w:rPr>
          <w:rFonts w:hint="eastAsia" w:ascii="仿宋_GB2312" w:hAnsi="仿宋_GB2312" w:eastAsia="仿宋_GB2312" w:cs="仿宋_GB2312"/>
          <w:color w:val="auto"/>
          <w:sz w:val="28"/>
          <w:szCs w:val="28"/>
          <w:highlight w:val="none"/>
          <w:lang w:eastAsia="zh-CN"/>
        </w:rPr>
        <w:t>法律法规</w:t>
      </w:r>
      <w:r>
        <w:rPr>
          <w:rFonts w:hint="eastAsia" w:ascii="仿宋_GB2312" w:hAnsi="仿宋_GB2312" w:eastAsia="仿宋_GB2312" w:cs="仿宋_GB2312"/>
          <w:color w:val="auto"/>
          <w:sz w:val="28"/>
          <w:szCs w:val="28"/>
          <w:highlight w:val="none"/>
        </w:rPr>
        <w:t>认定的其他情形。</w:t>
      </w:r>
    </w:p>
    <w:p w14:paraId="75B8B07F">
      <w:pPr>
        <w:spacing w:beforeLines="0" w:line="50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14:paraId="6B1B3374">
      <w:pPr>
        <w:spacing w:beforeLines="0" w:line="50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w:t>
      </w:r>
      <w:r>
        <w:rPr>
          <w:rFonts w:hint="eastAsia" w:ascii="仿宋_GB2312" w:eastAsia="仿宋_GB2312"/>
          <w:color w:val="auto"/>
          <w:sz w:val="28"/>
          <w:szCs w:val="28"/>
          <w:highlight w:val="none"/>
        </w:rPr>
        <w:t>从</w:t>
      </w:r>
      <w:r>
        <w:rPr>
          <w:rFonts w:hint="eastAsia" w:ascii="仿宋_GB2312" w:hAnsi="仿宋_GB2312" w:eastAsia="仿宋_GB2312" w:cs="仿宋_GB2312"/>
          <w:color w:val="auto"/>
          <w:sz w:val="28"/>
          <w:szCs w:val="28"/>
          <w:highlight w:val="none"/>
        </w:rPr>
        <w:t>其他主体</w:t>
      </w:r>
      <w:r>
        <w:rPr>
          <w:rFonts w:hint="eastAsia" w:ascii="仿宋_GB2312" w:eastAsia="仿宋_GB2312"/>
          <w:color w:val="auto"/>
          <w:sz w:val="28"/>
          <w:szCs w:val="28"/>
          <w:highlight w:val="none"/>
        </w:rPr>
        <w:t>获取</w:t>
      </w:r>
      <w:r>
        <w:rPr>
          <w:rFonts w:hint="eastAsia" w:ascii="仿宋_GB2312" w:hAnsi="仿宋_GB2312" w:eastAsia="仿宋_GB2312" w:cs="仿宋_GB2312"/>
          <w:color w:val="auto"/>
          <w:sz w:val="28"/>
          <w:szCs w:val="28"/>
          <w:highlight w:val="none"/>
        </w:rPr>
        <w:t>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14:paraId="773FA187">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7BB947A7">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14:paraId="470A76F6">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（四）供应商应严格规范项目授权代表、员工参与投标的行为，加强对投标文件的审核。项目授权代表、员工</w:t>
      </w:r>
      <w:r>
        <w:rPr>
          <w:rFonts w:hint="eastAsia" w:ascii="仿宋_GB2312" w:eastAsia="仿宋_GB2312"/>
          <w:color w:val="auto"/>
          <w:sz w:val="28"/>
          <w:szCs w:val="28"/>
          <w:highlight w:val="none"/>
        </w:rPr>
        <w:t>编制、上传</w:t>
      </w:r>
      <w:r>
        <w:rPr>
          <w:rFonts w:hint="eastAsia" w:ascii="仿宋_GB2312" w:hAnsi="仿宋_GB2312" w:eastAsia="仿宋_GB2312" w:cs="仿宋_GB2312"/>
          <w:color w:val="auto"/>
          <w:sz w:val="28"/>
          <w:szCs w:val="28"/>
          <w:highlight w:val="none"/>
        </w:rPr>
        <w:t>投标文件</w:t>
      </w:r>
      <w:r>
        <w:rPr>
          <w:rFonts w:hint="eastAsia" w:ascii="仿宋_GB2312" w:eastAsia="仿宋_GB2312"/>
          <w:color w:val="auto"/>
          <w:sz w:val="28"/>
          <w:szCs w:val="28"/>
          <w:highlight w:val="none"/>
        </w:rPr>
        <w:t>等行为</w:t>
      </w:r>
      <w:r>
        <w:rPr>
          <w:rFonts w:hint="eastAsia" w:ascii="仿宋_GB2312" w:hAnsi="仿宋_GB2312" w:eastAsia="仿宋_GB2312" w:cs="仿宋_GB2312"/>
          <w:color w:val="auto"/>
          <w:sz w:val="28"/>
          <w:szCs w:val="28"/>
          <w:highlight w:val="none"/>
        </w:rPr>
        <w:t>违反政府采购法律法规或</w:t>
      </w:r>
      <w:r>
        <w:rPr>
          <w:rFonts w:hint="eastAsia" w:ascii="仿宋_GB2312" w:hAnsi="仿宋_GB2312" w:eastAsia="仿宋_GB2312" w:cs="仿宋_GB2312"/>
          <w:color w:val="auto"/>
          <w:sz w:val="28"/>
          <w:szCs w:val="28"/>
          <w:highlight w:val="none"/>
          <w:lang w:val="en-US" w:eastAsia="zh-CN"/>
        </w:rPr>
        <w:t>公开征集</w:t>
      </w:r>
      <w:r>
        <w:rPr>
          <w:rFonts w:hint="eastAsia" w:ascii="仿宋_GB2312" w:hAnsi="仿宋_GB2312" w:eastAsia="仿宋_GB2312" w:cs="仿宋_GB2312"/>
          <w:color w:val="auto"/>
          <w:sz w:val="28"/>
          <w:szCs w:val="28"/>
          <w:highlight w:val="none"/>
        </w:rPr>
        <w:t>文件要求的，投标供应商应当依法承担相应法律责任。</w:t>
      </w:r>
    </w:p>
    <w:p w14:paraId="74256E6E">
      <w:pPr>
        <w:spacing w:beforeLines="0"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331351C">
      <w:pPr>
        <w:spacing w:beforeLines="0"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w:t>
      </w:r>
      <w:r>
        <w:rPr>
          <w:rFonts w:hint="eastAsia" w:ascii="仿宋_GB2312" w:eastAsia="仿宋_GB2312"/>
          <w:color w:val="auto"/>
          <w:sz w:val="28"/>
          <w:szCs w:val="28"/>
          <w:highlight w:val="none"/>
        </w:rPr>
        <w:t>如</w:t>
      </w:r>
      <w:r>
        <w:rPr>
          <w:rFonts w:hint="eastAsia" w:ascii="仿宋_GB2312" w:hAnsi="仿宋_GB2312" w:eastAsia="仿宋_GB2312" w:cs="仿宋_GB2312"/>
          <w:color w:val="auto"/>
          <w:sz w:val="28"/>
          <w:szCs w:val="28"/>
          <w:highlight w:val="none"/>
        </w:rPr>
        <w:t>查实，依法作投标无效处理；涉嫌串通投标等违法行为的，主管部门将依法调查处理。</w:t>
      </w:r>
    </w:p>
    <w:p w14:paraId="751D034D">
      <w:pPr>
        <w:spacing w:beforeLines="0" w:line="50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F501F65">
      <w:pPr>
        <w:spacing w:beforeLines="0" w:line="50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以下文字请投标供应商抄写并确认</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本公司已仔细阅读《政府采购违法行为风险知悉确认书》，充分知悉违法行为的法律后果，并承诺将严谨、诚信、依法依规参与政府采购活动</w:t>
      </w:r>
      <w:r>
        <w:rPr>
          <w:rFonts w:hint="eastAsia" w:ascii="仿宋_GB2312" w:hAnsi="仿宋_GB2312" w:eastAsia="仿宋_GB2312" w:cs="仿宋_GB2312"/>
          <w:color w:val="auto"/>
          <w:sz w:val="28"/>
          <w:szCs w:val="28"/>
          <w:highlight w:val="none"/>
        </w:rPr>
        <w:t>”。</w:t>
      </w:r>
    </w:p>
    <w:p w14:paraId="2C735B59">
      <w:pPr>
        <w:spacing w:beforeLines="0" w:line="500" w:lineRule="exact"/>
        <w:rPr>
          <w:rFonts w:hint="eastAsia" w:ascii="仿宋_GB2312" w:hAnsi="仿宋_GB2312" w:eastAsia="仿宋_GB2312" w:cs="仿宋_GB2312"/>
          <w:color w:val="auto"/>
          <w:sz w:val="28"/>
          <w:szCs w:val="28"/>
          <w:highlight w:val="none"/>
          <w:u w:val="single"/>
        </w:rPr>
      </w:pPr>
    </w:p>
    <w:p w14:paraId="69796138">
      <w:pPr>
        <w:spacing w:beforeLines="0" w:line="24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default"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099F2A82">
      <w:pPr>
        <w:spacing w:beforeLines="0" w:line="24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45C423F6">
      <w:pPr>
        <w:spacing w:beforeLines="0" w:line="24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58D6B459">
      <w:pPr>
        <w:spacing w:beforeLines="0" w:line="24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C6F2E6B">
      <w:pPr>
        <w:spacing w:beforeLines="0" w:line="500" w:lineRule="exact"/>
        <w:rPr>
          <w:rFonts w:ascii="仿宋_GB2312" w:hAnsi="仿宋_GB2312" w:eastAsia="仿宋_GB2312" w:cs="仿宋_GB2312"/>
          <w:color w:val="auto"/>
          <w:sz w:val="28"/>
          <w:szCs w:val="28"/>
          <w:highlight w:val="none"/>
        </w:rPr>
      </w:pPr>
    </w:p>
    <w:p w14:paraId="22683446">
      <w:pPr>
        <w:spacing w:beforeLines="0"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负责人/投标授权代表签名：</w:t>
      </w:r>
    </w:p>
    <w:p w14:paraId="338282A9">
      <w:pPr>
        <w:spacing w:beforeLines="0" w:line="500" w:lineRule="exact"/>
        <w:ind w:firstLine="2800" w:firstLineChars="10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知悉人（公章）：</w:t>
      </w:r>
    </w:p>
    <w:p w14:paraId="485CB705">
      <w:pPr>
        <w:spacing w:beforeLines="0" w:line="500" w:lineRule="exact"/>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rPr>
        <w:t xml:space="preserve">                    日期：</w:t>
      </w:r>
    </w:p>
    <w:p w14:paraId="6E591BE9">
      <w:pPr>
        <w:pStyle w:val="25"/>
        <w:rPr>
          <w:color w:val="auto"/>
          <w:highlight w:val="none"/>
        </w:rPr>
      </w:pPr>
    </w:p>
    <w:p w14:paraId="5BC9EAC3">
      <w:pPr>
        <w:pStyle w:val="25"/>
        <w:rPr>
          <w:color w:val="auto"/>
          <w:highlight w:val="none"/>
        </w:rPr>
      </w:pPr>
    </w:p>
    <w:p w14:paraId="76E75162">
      <w:pPr>
        <w:pStyle w:val="25"/>
        <w:rPr>
          <w:color w:val="auto"/>
          <w:highlight w:val="none"/>
        </w:rPr>
      </w:pPr>
    </w:p>
    <w:p w14:paraId="36BC4169">
      <w:pPr>
        <w:pStyle w:val="25"/>
        <w:rPr>
          <w:color w:val="auto"/>
          <w:highlight w:val="none"/>
        </w:rPr>
      </w:pPr>
    </w:p>
    <w:p w14:paraId="7E3FFD5F">
      <w:pPr>
        <w:pStyle w:val="25"/>
        <w:rPr>
          <w:color w:val="auto"/>
          <w:highlight w:val="none"/>
        </w:rPr>
      </w:pPr>
    </w:p>
    <w:p w14:paraId="083AD751">
      <w:pPr>
        <w:pStyle w:val="25"/>
        <w:rPr>
          <w:color w:val="auto"/>
          <w:highlight w:val="none"/>
        </w:rPr>
      </w:pPr>
    </w:p>
    <w:p w14:paraId="69A3517C">
      <w:pPr>
        <w:pStyle w:val="25"/>
        <w:rPr>
          <w:color w:val="auto"/>
          <w:highlight w:val="none"/>
        </w:rPr>
      </w:pPr>
    </w:p>
    <w:p w14:paraId="09E99534">
      <w:pPr>
        <w:pStyle w:val="25"/>
        <w:rPr>
          <w:color w:val="auto"/>
          <w:highlight w:val="none"/>
        </w:rPr>
      </w:pPr>
    </w:p>
    <w:p w14:paraId="1A8C1A81">
      <w:pPr>
        <w:pStyle w:val="25"/>
        <w:rPr>
          <w:color w:val="auto"/>
          <w:highlight w:val="none"/>
        </w:rPr>
      </w:pPr>
    </w:p>
    <w:p w14:paraId="05C34641">
      <w:pPr>
        <w:pStyle w:val="25"/>
        <w:rPr>
          <w:color w:val="auto"/>
          <w:highlight w:val="none"/>
        </w:rPr>
      </w:pPr>
    </w:p>
    <w:p w14:paraId="6D4B754C">
      <w:pPr>
        <w:pStyle w:val="25"/>
        <w:rPr>
          <w:color w:val="auto"/>
          <w:highlight w:val="none"/>
        </w:rPr>
      </w:pPr>
    </w:p>
    <w:p w14:paraId="3CAF3E55">
      <w:pPr>
        <w:pStyle w:val="25"/>
        <w:rPr>
          <w:color w:val="auto"/>
          <w:highlight w:val="none"/>
        </w:rPr>
      </w:pPr>
    </w:p>
    <w:p w14:paraId="5EC1B9F2">
      <w:pPr>
        <w:pStyle w:val="25"/>
        <w:rPr>
          <w:color w:val="auto"/>
          <w:highlight w:val="none"/>
        </w:rPr>
      </w:pPr>
    </w:p>
    <w:p w14:paraId="7A723F3B">
      <w:pPr>
        <w:pStyle w:val="25"/>
        <w:rPr>
          <w:color w:val="auto"/>
          <w:highlight w:val="none"/>
        </w:rPr>
      </w:pPr>
    </w:p>
    <w:p w14:paraId="3BBD4F7B">
      <w:pPr>
        <w:pStyle w:val="25"/>
        <w:rPr>
          <w:color w:val="auto"/>
          <w:highlight w:val="none"/>
        </w:rPr>
      </w:pPr>
    </w:p>
    <w:p w14:paraId="023F94DF">
      <w:pPr>
        <w:pStyle w:val="25"/>
        <w:rPr>
          <w:color w:val="auto"/>
          <w:highlight w:val="none"/>
        </w:rPr>
      </w:pPr>
    </w:p>
    <w:p w14:paraId="0CD5582C">
      <w:pPr>
        <w:autoSpaceDE w:val="0"/>
        <w:autoSpaceDN w:val="0"/>
        <w:adjustRightInd w:val="0"/>
        <w:spacing w:line="579" w:lineRule="exact"/>
        <w:ind w:firstLine="2560" w:firstLineChars="800"/>
        <w:jc w:val="both"/>
        <w:rPr>
          <w:rFonts w:hint="eastAsia" w:ascii="方正小标宋_GBK" w:hAnsi="方正小标宋_GBK" w:eastAsia="方正小标宋_GBK" w:cs="方正小标宋_GBK"/>
          <w:color w:val="auto"/>
          <w:kern w:val="0"/>
          <w:sz w:val="32"/>
          <w:szCs w:val="32"/>
          <w:highlight w:val="none"/>
          <w:lang w:eastAsia="zh-CN"/>
        </w:rPr>
      </w:pPr>
      <w:r>
        <w:rPr>
          <w:rFonts w:hint="eastAsia" w:ascii="方正小标宋_GBK" w:hAnsi="方正小标宋_GBK" w:eastAsia="方正小标宋_GBK" w:cs="方正小标宋_GBK"/>
          <w:color w:val="auto"/>
          <w:kern w:val="0"/>
          <w:sz w:val="32"/>
          <w:szCs w:val="32"/>
          <w:highlight w:val="none"/>
          <w:lang w:eastAsia="zh-CN"/>
        </w:rPr>
        <w:t>十</w:t>
      </w:r>
      <w:r>
        <w:rPr>
          <w:rFonts w:hint="eastAsia" w:ascii="方正小标宋_GBK" w:hAnsi="方正小标宋_GBK" w:eastAsia="方正小标宋_GBK" w:cs="方正小标宋_GBK"/>
          <w:color w:val="auto"/>
          <w:kern w:val="0"/>
          <w:sz w:val="32"/>
          <w:szCs w:val="32"/>
          <w:highlight w:val="none"/>
          <w:lang w:val="en-US" w:eastAsia="zh-CN"/>
        </w:rPr>
        <w:t>九</w:t>
      </w:r>
      <w:r>
        <w:rPr>
          <w:rFonts w:hint="eastAsia" w:ascii="方正小标宋_GBK" w:hAnsi="方正小标宋_GBK" w:eastAsia="方正小标宋_GBK" w:cs="方正小标宋_GBK"/>
          <w:color w:val="auto"/>
          <w:kern w:val="0"/>
          <w:sz w:val="32"/>
          <w:szCs w:val="32"/>
          <w:highlight w:val="none"/>
          <w:lang w:eastAsia="zh-CN"/>
        </w:rPr>
        <w:t>、中小企业声明函</w:t>
      </w:r>
    </w:p>
    <w:p w14:paraId="565D1691">
      <w:pPr>
        <w:spacing w:line="480" w:lineRule="exact"/>
        <w:ind w:firstLine="560" w:firstLineChars="200"/>
        <w:outlineLvl w:val="3"/>
        <w:rPr>
          <w:rFonts w:hint="eastAsia" w:ascii="仿宋_GB2312" w:hAnsi="仿宋_GB2312" w:eastAsia="仿宋_GB2312" w:cs="仿宋_GB2312"/>
          <w:color w:val="auto"/>
          <w:sz w:val="28"/>
          <w:szCs w:val="21"/>
          <w:highlight w:val="none"/>
        </w:rPr>
      </w:pPr>
      <w:r>
        <w:rPr>
          <w:rFonts w:hint="eastAsia" w:ascii="仿宋_GB2312" w:hAnsi="仿宋_GB2312" w:eastAsia="仿宋_GB2312" w:cs="仿宋_GB2312"/>
          <w:color w:val="auto"/>
          <w:sz w:val="28"/>
          <w:szCs w:val="21"/>
          <w:highlight w:val="none"/>
        </w:rPr>
        <w:t>本投标人郑重声明，根据《政府采购促进中小企业发展管理办法》（财库﹝2020﹞46号）的规定，本投标人参加</w:t>
      </w:r>
      <w:r>
        <w:rPr>
          <w:rFonts w:hint="eastAsia" w:ascii="仿宋_GB2312" w:hAnsi="仿宋_GB2312" w:eastAsia="仿宋_GB2312" w:cs="仿宋_GB2312"/>
          <w:b/>
          <w:bCs/>
          <w:color w:val="auto"/>
          <w:sz w:val="28"/>
          <w:szCs w:val="21"/>
          <w:highlight w:val="none"/>
          <w:u w:val="single"/>
        </w:rPr>
        <w:t>（采购人名称）</w:t>
      </w:r>
      <w:r>
        <w:rPr>
          <w:rFonts w:hint="eastAsia" w:ascii="仿宋_GB2312" w:hAnsi="仿宋_GB2312" w:eastAsia="仿宋_GB2312" w:cs="仿宋_GB2312"/>
          <w:color w:val="auto"/>
          <w:sz w:val="28"/>
          <w:szCs w:val="21"/>
          <w:highlight w:val="none"/>
        </w:rPr>
        <w:t>的</w:t>
      </w:r>
      <w:r>
        <w:rPr>
          <w:rFonts w:hint="eastAsia" w:ascii="仿宋_GB2312" w:hAnsi="仿宋_GB2312" w:eastAsia="仿宋_GB2312" w:cs="仿宋_GB2312"/>
          <w:b/>
          <w:bCs/>
          <w:color w:val="auto"/>
          <w:sz w:val="28"/>
          <w:szCs w:val="21"/>
          <w:highlight w:val="none"/>
          <w:u w:val="single"/>
        </w:rPr>
        <w:t>（项目名称）</w:t>
      </w:r>
      <w:r>
        <w:rPr>
          <w:rFonts w:hint="eastAsia" w:ascii="仿宋_GB2312" w:hAnsi="仿宋_GB2312" w:eastAsia="仿宋_GB2312" w:cs="仿宋_GB2312"/>
          <w:color w:val="auto"/>
          <w:sz w:val="28"/>
          <w:szCs w:val="21"/>
          <w:highlight w:val="none"/>
        </w:rPr>
        <w:t>采购活动，服务全部由符合政策要求的中小企业承接。相关企业的具体情况如下：</w:t>
      </w:r>
    </w:p>
    <w:p w14:paraId="24EC6A7C">
      <w:pPr>
        <w:spacing w:line="480" w:lineRule="exact"/>
        <w:ind w:firstLine="560" w:firstLineChars="200"/>
        <w:outlineLvl w:val="3"/>
        <w:rPr>
          <w:rFonts w:ascii="宋体" w:hAnsi="宋体" w:eastAsia="仿宋_GB2312"/>
          <w:color w:val="auto"/>
          <w:sz w:val="28"/>
          <w:szCs w:val="21"/>
          <w:highlight w:val="none"/>
        </w:rPr>
      </w:pPr>
      <w:r>
        <w:rPr>
          <w:rFonts w:hint="eastAsia" w:ascii="仿宋_GB2312" w:hAnsi="仿宋_GB2312" w:eastAsia="仿宋_GB2312" w:cs="仿宋_GB2312"/>
          <w:color w:val="auto"/>
          <w:sz w:val="28"/>
          <w:szCs w:val="21"/>
          <w:highlight w:val="none"/>
        </w:rPr>
        <w:t>1.</w:t>
      </w:r>
      <w:r>
        <w:rPr>
          <w:rFonts w:hint="eastAsia" w:ascii="仿宋_GB2312" w:hAnsi="仿宋_GB2312" w:eastAsia="仿宋_GB2312" w:cs="仿宋_GB2312"/>
          <w:b/>
          <w:bCs/>
          <w:color w:val="auto"/>
          <w:sz w:val="28"/>
          <w:szCs w:val="21"/>
          <w:highlight w:val="none"/>
          <w:u w:val="single"/>
        </w:rPr>
        <w:t xml:space="preserve"> （标的名称）</w:t>
      </w:r>
      <w:r>
        <w:rPr>
          <w:rFonts w:hint="eastAsia" w:ascii="仿宋_GB2312" w:hAnsi="仿宋_GB2312" w:eastAsia="仿宋_GB2312" w:cs="仿宋_GB2312"/>
          <w:color w:val="auto"/>
          <w:sz w:val="28"/>
          <w:szCs w:val="21"/>
          <w:highlight w:val="none"/>
        </w:rPr>
        <w:t>，属于</w:t>
      </w:r>
      <w:r>
        <w:rPr>
          <w:rFonts w:hint="eastAsia" w:ascii="仿宋_GB2312" w:hAnsi="仿宋_GB2312" w:eastAsia="仿宋_GB2312" w:cs="仿宋_GB2312"/>
          <w:b/>
          <w:bCs/>
          <w:color w:val="auto"/>
          <w:sz w:val="28"/>
          <w:szCs w:val="21"/>
          <w:highlight w:val="none"/>
          <w:u w:val="single"/>
        </w:rPr>
        <w:t xml:space="preserve">（公开征集文件中明确的所属行业） </w:t>
      </w:r>
      <w:r>
        <w:rPr>
          <w:rFonts w:hint="eastAsia" w:ascii="仿宋_GB2312" w:hAnsi="仿宋_GB2312" w:eastAsia="仿宋_GB2312" w:cs="仿宋_GB2312"/>
          <w:color w:val="auto"/>
          <w:sz w:val="28"/>
          <w:szCs w:val="21"/>
          <w:highlight w:val="none"/>
        </w:rPr>
        <w:t>行业；承接企业为</w:t>
      </w:r>
      <w:r>
        <w:rPr>
          <w:rFonts w:hint="eastAsia" w:ascii="仿宋_GB2312" w:hAnsi="仿宋_GB2312" w:eastAsia="仿宋_GB2312" w:cs="仿宋_GB2312"/>
          <w:b/>
          <w:bCs/>
          <w:color w:val="auto"/>
          <w:sz w:val="28"/>
          <w:szCs w:val="21"/>
          <w:highlight w:val="none"/>
          <w:u w:val="single"/>
        </w:rPr>
        <w:t>（企业名称）</w:t>
      </w:r>
      <w:r>
        <w:rPr>
          <w:rFonts w:hint="eastAsia" w:ascii="仿宋_GB2312" w:hAnsi="仿宋_GB2312" w:eastAsia="仿宋_GB2312" w:cs="仿宋_GB2312"/>
          <w:color w:val="auto"/>
          <w:sz w:val="28"/>
          <w:szCs w:val="21"/>
          <w:highlight w:val="none"/>
        </w:rPr>
        <w:t>，</w:t>
      </w:r>
      <w:r>
        <w:rPr>
          <w:rFonts w:ascii="宋体" w:hAnsi="宋体" w:eastAsia="仿宋_GB2312"/>
          <w:color w:val="auto"/>
          <w:sz w:val="28"/>
          <w:szCs w:val="21"/>
          <w:highlight w:val="none"/>
        </w:rPr>
        <w:t>从业人员</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人，营业收入为</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万元，资产总额为</w:t>
      </w:r>
      <w:r>
        <w:rPr>
          <w:rFonts w:hint="eastAsia" w:ascii="宋体" w:hAnsi="宋体" w:eastAsia="仿宋_GB2312"/>
          <w:b/>
          <w:bCs/>
          <w:color w:val="auto"/>
          <w:sz w:val="28"/>
          <w:szCs w:val="21"/>
          <w:highlight w:val="none"/>
          <w:u w:val="single"/>
        </w:rPr>
        <w:t xml:space="preserve"> </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 ，属于</w:t>
      </w:r>
      <w:r>
        <w:rPr>
          <w:rFonts w:ascii="宋体" w:hAnsi="宋体" w:eastAsia="仿宋_GB2312"/>
          <w:b/>
          <w:bCs/>
          <w:color w:val="auto"/>
          <w:sz w:val="28"/>
          <w:szCs w:val="21"/>
          <w:highlight w:val="none"/>
          <w:u w:val="single"/>
        </w:rPr>
        <w:t>（中型企业、小型企业、微型企业）</w:t>
      </w:r>
      <w:r>
        <w:rPr>
          <w:rFonts w:ascii="宋体" w:hAnsi="宋体" w:eastAsia="仿宋_GB2312"/>
          <w:color w:val="auto"/>
          <w:sz w:val="28"/>
          <w:szCs w:val="21"/>
          <w:highlight w:val="none"/>
        </w:rPr>
        <w:t>；</w:t>
      </w:r>
    </w:p>
    <w:p w14:paraId="54D04C4E">
      <w:pPr>
        <w:spacing w:line="480" w:lineRule="exact"/>
        <w:ind w:firstLine="560" w:firstLineChars="200"/>
        <w:outlineLvl w:val="3"/>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b/>
          <w:bCs/>
          <w:color w:val="auto"/>
          <w:sz w:val="28"/>
          <w:szCs w:val="28"/>
          <w:highlight w:val="none"/>
          <w:u w:val="single"/>
        </w:rPr>
        <w:t xml:space="preserve"> （标的名称）</w:t>
      </w:r>
      <w:r>
        <w:rPr>
          <w:rFonts w:hint="eastAsia" w:ascii="仿宋_GB2312" w:hAnsi="仿宋_GB2312" w:eastAsia="仿宋_GB2312" w:cs="仿宋_GB2312"/>
          <w:color w:val="auto"/>
          <w:sz w:val="28"/>
          <w:szCs w:val="28"/>
          <w:highlight w:val="none"/>
        </w:rPr>
        <w:t xml:space="preserve"> ，属于</w:t>
      </w:r>
      <w:r>
        <w:rPr>
          <w:rFonts w:hint="eastAsia" w:ascii="仿宋_GB2312" w:hAnsi="仿宋_GB2312" w:eastAsia="仿宋_GB2312" w:cs="仿宋_GB2312"/>
          <w:b/>
          <w:bCs/>
          <w:color w:val="auto"/>
          <w:sz w:val="28"/>
          <w:szCs w:val="28"/>
          <w:highlight w:val="none"/>
          <w:u w:val="single"/>
        </w:rPr>
        <w:t>（公开征集文件中明确的所属行业）</w:t>
      </w:r>
      <w:r>
        <w:rPr>
          <w:rFonts w:hint="eastAsia" w:ascii="仿宋_GB2312" w:hAnsi="仿宋_GB2312" w:eastAsia="仿宋_GB2312" w:cs="仿宋_GB2312"/>
          <w:color w:val="auto"/>
          <w:sz w:val="28"/>
          <w:szCs w:val="28"/>
          <w:highlight w:val="none"/>
        </w:rPr>
        <w:t>行业；承接企业为</w:t>
      </w:r>
      <w:r>
        <w:rPr>
          <w:rFonts w:hint="eastAsia" w:ascii="仿宋_GB2312" w:hAnsi="仿宋_GB2312" w:eastAsia="仿宋_GB2312" w:cs="仿宋_GB2312"/>
          <w:b/>
          <w:bCs/>
          <w:color w:val="auto"/>
          <w:sz w:val="28"/>
          <w:szCs w:val="28"/>
          <w:highlight w:val="none"/>
          <w:u w:val="single"/>
        </w:rPr>
        <w:t>（企业名称）</w:t>
      </w:r>
      <w:r>
        <w:rPr>
          <w:rFonts w:hint="eastAsia" w:ascii="仿宋_GB2312" w:hAnsi="仿宋_GB2312" w:eastAsia="仿宋_GB2312" w:cs="仿宋_GB2312"/>
          <w:color w:val="auto"/>
          <w:sz w:val="28"/>
          <w:szCs w:val="28"/>
          <w:highlight w:val="none"/>
        </w:rPr>
        <w:t>，从业人员</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人，营业收入为</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万元，资产总额为</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万元，属于</w:t>
      </w:r>
      <w:r>
        <w:rPr>
          <w:rFonts w:hint="eastAsia" w:ascii="仿宋_GB2312" w:hAnsi="仿宋_GB2312" w:eastAsia="仿宋_GB2312" w:cs="仿宋_GB2312"/>
          <w:b/>
          <w:bCs/>
          <w:color w:val="auto"/>
          <w:sz w:val="28"/>
          <w:szCs w:val="28"/>
          <w:highlight w:val="none"/>
          <w:u w:val="single"/>
        </w:rPr>
        <w:t>（中型企业、小型企业、微型企业）</w:t>
      </w:r>
      <w:r>
        <w:rPr>
          <w:rFonts w:hint="eastAsia" w:ascii="仿宋_GB2312" w:hAnsi="仿宋_GB2312" w:eastAsia="仿宋_GB2312" w:cs="仿宋_GB2312"/>
          <w:color w:val="auto"/>
          <w:sz w:val="28"/>
          <w:szCs w:val="28"/>
          <w:highlight w:val="none"/>
        </w:rPr>
        <w:t>；</w:t>
      </w:r>
    </w:p>
    <w:p w14:paraId="7608FAF2">
      <w:pPr>
        <w:spacing w:line="480" w:lineRule="exact"/>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232FB048">
      <w:pPr>
        <w:spacing w:line="480" w:lineRule="exact"/>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以上企业，不属于大企业的分支机构，不存在控股股东为大企业的情形，也不存在与大企业的负责人为同一人的情形。</w:t>
      </w:r>
    </w:p>
    <w:p w14:paraId="4B4EE4F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outlineLvl w:val="3"/>
        <w:rPr>
          <w:rFonts w:hint="eastAsia" w:ascii="仿宋_GB2312" w:hAnsi="仿宋_GB2312" w:eastAsia="仿宋_GB2312" w:cs="仿宋_GB2312"/>
          <w:color w:val="auto"/>
          <w:sz w:val="28"/>
          <w:szCs w:val="28"/>
          <w:highlight w:val="none"/>
          <w:lang w:val="en-US" w:eastAsia="zh-CN"/>
        </w:rPr>
      </w:pPr>
      <w:bookmarkStart w:id="9" w:name="_Hlk73562275"/>
      <w:r>
        <w:rPr>
          <w:rFonts w:hint="eastAsia" w:ascii="仿宋_GB2312" w:hAnsi="仿宋_GB2312" w:eastAsia="仿宋_GB2312" w:cs="仿宋_GB2312"/>
          <w:color w:val="auto"/>
          <w:sz w:val="28"/>
          <w:szCs w:val="28"/>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_GB2312" w:hAnsi="仿宋_GB2312" w:eastAsia="仿宋_GB2312" w:cs="仿宋_GB2312"/>
          <w:color w:val="auto"/>
          <w:sz w:val="28"/>
          <w:szCs w:val="28"/>
          <w:highlight w:val="none"/>
          <w:lang w:eastAsia="zh-CN"/>
        </w:rPr>
        <w:t>中华人民共和国政府采购法</w:t>
      </w:r>
      <w:r>
        <w:rPr>
          <w:rFonts w:hint="eastAsia" w:ascii="仿宋_GB2312" w:hAnsi="仿宋_GB2312" w:eastAsia="仿宋_GB2312" w:cs="仿宋_GB2312"/>
          <w:color w:val="auto"/>
          <w:sz w:val="28"/>
          <w:szCs w:val="28"/>
          <w:highlight w:val="none"/>
        </w:rPr>
        <w:t>》等政府采购有关法律法规规定追究相应责任</w:t>
      </w:r>
      <w:bookmarkEnd w:id="9"/>
      <w:r>
        <w:rPr>
          <w:rFonts w:hint="eastAsia" w:ascii="仿宋_GB2312" w:hAnsi="仿宋_GB2312" w:eastAsia="仿宋_GB2312" w:cs="仿宋_GB2312"/>
          <w:color w:val="auto"/>
          <w:sz w:val="28"/>
          <w:szCs w:val="28"/>
          <w:highlight w:val="none"/>
          <w:lang w:eastAsia="zh-CN"/>
        </w:rPr>
        <w:t>。</w:t>
      </w:r>
    </w:p>
    <w:p w14:paraId="28DBBF6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3"/>
        <w:rPr>
          <w:rFonts w:hint="eastAsia" w:ascii="仿宋_GB2312" w:hAnsi="仿宋_GB2312" w:eastAsia="仿宋_GB2312" w:cs="仿宋_GB2312"/>
          <w:color w:val="auto"/>
          <w:sz w:val="28"/>
          <w:szCs w:val="28"/>
          <w:highlight w:val="none"/>
          <w:lang w:val="en-US" w:eastAsia="zh-CN"/>
        </w:rPr>
      </w:pPr>
    </w:p>
    <w:p w14:paraId="65C2A47B">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right"/>
        <w:textAlignment w:val="auto"/>
        <w:outlineLvl w:val="3"/>
        <w:rPr>
          <w:rFonts w:hint="eastAsia" w:ascii="仿宋_GB2312" w:hAnsi="仿宋_GB2312" w:eastAsia="仿宋_GB2312" w:cs="仿宋_GB2312"/>
          <w:color w:val="auto"/>
          <w:sz w:val="28"/>
          <w:szCs w:val="28"/>
          <w:highlight w:val="none"/>
          <w:lang w:val="en-US" w:eastAsia="zh-CN"/>
        </w:rPr>
      </w:pPr>
    </w:p>
    <w:p w14:paraId="535B446D">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right"/>
        <w:textAlignment w:val="auto"/>
        <w:outlineLvl w:val="3"/>
        <w:rPr>
          <w:rFonts w:hint="eastAsia" w:ascii="仿宋_GB2312" w:hAnsi="仿宋_GB2312" w:eastAsia="仿宋_GB2312" w:cs="仿宋_GB2312"/>
          <w:color w:val="auto"/>
          <w:sz w:val="28"/>
          <w:szCs w:val="28"/>
          <w:highlight w:val="none"/>
          <w:lang w:val="en-US" w:eastAsia="zh-CN"/>
        </w:rPr>
      </w:pPr>
    </w:p>
    <w:p w14:paraId="1D93556F">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right"/>
        <w:textAlignment w:val="auto"/>
        <w:outlineLvl w:val="3"/>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单位名称</w:t>
      </w:r>
      <w:r>
        <w:rPr>
          <w:rFonts w:hint="default"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p>
    <w:p w14:paraId="67C04FAC">
      <w:pPr>
        <w:rPr>
          <w:color w:val="auto"/>
          <w:highlight w:val="none"/>
        </w:rPr>
      </w:pPr>
      <w:r>
        <w:rPr>
          <w:rFonts w:hint="eastAsia" w:ascii="仿宋_GB2312" w:hAnsi="仿宋_GB2312" w:eastAsia="仿宋_GB2312" w:cs="仿宋_GB2312"/>
          <w:color w:val="auto"/>
          <w:sz w:val="28"/>
          <w:szCs w:val="28"/>
          <w:highlight w:val="none"/>
          <w:lang w:val="en-US" w:eastAsia="zh-CN"/>
        </w:rPr>
        <w:t xml:space="preserve">                                  日期</w:t>
      </w:r>
      <w:r>
        <w:rPr>
          <w:rFonts w:hint="default" w:ascii="仿宋_GB2312" w:hAnsi="仿宋_GB2312" w:eastAsia="仿宋_GB2312" w:cs="仿宋_GB2312"/>
          <w:color w:val="auto"/>
          <w:sz w:val="28"/>
          <w:szCs w:val="28"/>
          <w:highlight w:val="none"/>
          <w:lang w:eastAsia="zh-CN"/>
        </w:rPr>
        <w:t>：</w:t>
      </w:r>
      <w:bookmarkEnd w:id="3"/>
      <w:bookmarkEnd w:id="4"/>
      <w:bookmarkEnd w:id="5"/>
    </w:p>
    <w:sectPr>
      <w:headerReference r:id="rId8" w:type="default"/>
      <w:footerReference r:id="rId9" w:type="default"/>
      <w:pgSz w:w="11906" w:h="16838"/>
      <w:pgMar w:top="1701" w:right="1474" w:bottom="1417"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0DD8E-6DF1-4323-B4D0-4854874E7C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EBCA620-8093-440B-AA7B-E1A443AD084F}"/>
  </w:font>
  <w:font w:name="方正小标宋简体">
    <w:panose1 w:val="03000509000000000000"/>
    <w:charset w:val="86"/>
    <w:family w:val="auto"/>
    <w:pitch w:val="default"/>
    <w:sig w:usb0="00000001" w:usb1="080E0000" w:usb2="00000000" w:usb3="00000000" w:csb0="00040000" w:csb1="00000000"/>
    <w:embedRegular r:id="rId3" w:fontKey="{AC644177-A525-4FB1-9375-226A5B9338D9}"/>
  </w:font>
  <w:font w:name="楷体_GB2312">
    <w:panose1 w:val="02010609030101010101"/>
    <w:charset w:val="86"/>
    <w:family w:val="auto"/>
    <w:pitch w:val="default"/>
    <w:sig w:usb0="00000001" w:usb1="080E0000" w:usb2="00000000" w:usb3="00000000" w:csb0="00040000" w:csb1="00000000"/>
    <w:embedRegular r:id="rId4" w:fontKey="{95FB3D95-3FF7-4E34-A7A4-138DFAC1AD8B}"/>
  </w:font>
  <w:font w:name="方正仿宋_GBK">
    <w:altName w:val="微软雅黑"/>
    <w:panose1 w:val="02000000000000000000"/>
    <w:charset w:val="86"/>
    <w:family w:val="auto"/>
    <w:pitch w:val="default"/>
    <w:sig w:usb0="00000000" w:usb1="00000000" w:usb2="00000000" w:usb3="00000000" w:csb0="00040000" w:csb1="00000000"/>
    <w:embedRegular r:id="rId5" w:fontKey="{EF1E3617-6863-4EF6-A51C-16240D4BBB16}"/>
  </w:font>
  <w:font w:name="方正小标宋_GBK">
    <w:panose1 w:val="03000509000000000000"/>
    <w:charset w:val="86"/>
    <w:family w:val="auto"/>
    <w:pitch w:val="default"/>
    <w:sig w:usb0="00000001" w:usb1="080E0000" w:usb2="00000000" w:usb3="00000000" w:csb0="00040000" w:csb1="00000000"/>
    <w:embedRegular r:id="rId6" w:fontKey="{9FF8F63F-3D60-48AB-AADC-BCEE71DA1D0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3221">
    <w:pPr>
      <w:pStyle w:val="12"/>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6F98B">
                          <w:pPr>
                            <w:pStyle w:val="1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66F98B">
                    <w:pPr>
                      <w:pStyle w:val="1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BC45">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4826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64826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6386">
    <w:pPr>
      <w:pStyle w:val="12"/>
      <w:tabs>
        <w:tab w:val="center" w:pos="4479"/>
        <w:tab w:val="clear" w:pos="4153"/>
      </w:tabs>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B29B9B">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1B29B9B">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E4B1">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BD39D">
                          <w:pPr>
                            <w:pStyle w:val="1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6BD39D">
                    <w:pPr>
                      <w:pStyle w:val="1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552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B22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00F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B5C23"/>
    <w:multiLevelType w:val="singleLevel"/>
    <w:tmpl w:val="25FB5C23"/>
    <w:lvl w:ilvl="0" w:tentative="0">
      <w:start w:val="6"/>
      <w:numFmt w:val="chineseCounting"/>
      <w:suff w:val="nothing"/>
      <w:lvlText w:val="%1、"/>
      <w:lvlJc w:val="left"/>
      <w:rPr>
        <w:rFonts w:hint="eastAsia"/>
      </w:rPr>
    </w:lvl>
  </w:abstractNum>
  <w:abstractNum w:abstractNumId="1">
    <w:nsid w:val="65FC27DE"/>
    <w:multiLevelType w:val="singleLevel"/>
    <w:tmpl w:val="65FC27D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0792B"/>
    <w:rsid w:val="03E81977"/>
    <w:rsid w:val="04217B18"/>
    <w:rsid w:val="052A0005"/>
    <w:rsid w:val="05B068C4"/>
    <w:rsid w:val="05DD2E4A"/>
    <w:rsid w:val="089B7AC9"/>
    <w:rsid w:val="094F7AAC"/>
    <w:rsid w:val="0CE53349"/>
    <w:rsid w:val="0DB50E71"/>
    <w:rsid w:val="0DB53F77"/>
    <w:rsid w:val="0E2E3B2C"/>
    <w:rsid w:val="0FC71A98"/>
    <w:rsid w:val="119241ED"/>
    <w:rsid w:val="125774BC"/>
    <w:rsid w:val="13961EAE"/>
    <w:rsid w:val="13C7351A"/>
    <w:rsid w:val="15100220"/>
    <w:rsid w:val="17DB2585"/>
    <w:rsid w:val="193A23D3"/>
    <w:rsid w:val="1A705206"/>
    <w:rsid w:val="1C9B0AD3"/>
    <w:rsid w:val="1CFA40C7"/>
    <w:rsid w:val="1E1E7AB4"/>
    <w:rsid w:val="1E5F3AB7"/>
    <w:rsid w:val="1F737547"/>
    <w:rsid w:val="23A3201E"/>
    <w:rsid w:val="25237712"/>
    <w:rsid w:val="25401DED"/>
    <w:rsid w:val="255B0582"/>
    <w:rsid w:val="27FA3793"/>
    <w:rsid w:val="2AA97DB5"/>
    <w:rsid w:val="2F367F48"/>
    <w:rsid w:val="2F8F6FB1"/>
    <w:rsid w:val="317F54BC"/>
    <w:rsid w:val="325D20BC"/>
    <w:rsid w:val="340F388A"/>
    <w:rsid w:val="361674CD"/>
    <w:rsid w:val="3CD236A7"/>
    <w:rsid w:val="3CFD3179"/>
    <w:rsid w:val="3D7C6E63"/>
    <w:rsid w:val="3DD63646"/>
    <w:rsid w:val="448A3B09"/>
    <w:rsid w:val="48B758F1"/>
    <w:rsid w:val="4D5D729C"/>
    <w:rsid w:val="4F8C75DC"/>
    <w:rsid w:val="506F1B20"/>
    <w:rsid w:val="51DC2BA6"/>
    <w:rsid w:val="52674839"/>
    <w:rsid w:val="52A67321"/>
    <w:rsid w:val="52AE3D11"/>
    <w:rsid w:val="552224FD"/>
    <w:rsid w:val="577966E9"/>
    <w:rsid w:val="585D2567"/>
    <w:rsid w:val="594A0A1E"/>
    <w:rsid w:val="5A7F47E2"/>
    <w:rsid w:val="5B4E6197"/>
    <w:rsid w:val="5D164480"/>
    <w:rsid w:val="5F8A762F"/>
    <w:rsid w:val="5FB54A36"/>
    <w:rsid w:val="5FFA3CC9"/>
    <w:rsid w:val="61B4215E"/>
    <w:rsid w:val="64086308"/>
    <w:rsid w:val="65136487"/>
    <w:rsid w:val="674006F3"/>
    <w:rsid w:val="68F978C2"/>
    <w:rsid w:val="6C7F2A6E"/>
    <w:rsid w:val="6DC41DD2"/>
    <w:rsid w:val="6FBE7B0D"/>
    <w:rsid w:val="71745B6F"/>
    <w:rsid w:val="742B51AC"/>
    <w:rsid w:val="74940C67"/>
    <w:rsid w:val="77D677B7"/>
    <w:rsid w:val="784D67ED"/>
    <w:rsid w:val="78FC06E9"/>
    <w:rsid w:val="797C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Normal Indent"/>
    <w:basedOn w:val="1"/>
    <w:next w:val="1"/>
    <w:qFormat/>
    <w:uiPriority w:val="0"/>
    <w:pPr>
      <w:spacing w:after="200" w:line="600" w:lineRule="exact"/>
      <w:ind w:firstLine="420"/>
    </w:pPr>
    <w:rPr>
      <w:rFonts w:ascii="Times New Roman" w:hAnsi="Times New Roman" w:eastAsia="CESI仿宋-GB2312"/>
      <w:sz w:val="32"/>
      <w:szCs w:val="20"/>
    </w:rPr>
  </w:style>
  <w:style w:type="paragraph" w:styleId="8">
    <w:name w:val="annotation text"/>
    <w:basedOn w:val="1"/>
    <w:semiHidden/>
    <w:unhideWhenUsed/>
    <w:qFormat/>
    <w:uiPriority w:val="99"/>
    <w:pPr>
      <w:jc w:val="left"/>
    </w:pPr>
  </w:style>
  <w:style w:type="paragraph" w:styleId="9">
    <w:name w:val="Body Text"/>
    <w:basedOn w:val="1"/>
    <w:next w:val="1"/>
    <w:unhideWhenUsed/>
    <w:qFormat/>
    <w:uiPriority w:val="99"/>
    <w:pPr>
      <w:spacing w:before="100" w:beforeAutospacing="1" w:after="120"/>
    </w:pPr>
  </w:style>
  <w:style w:type="paragraph" w:styleId="10">
    <w:name w:val="Body Text Indent"/>
    <w:basedOn w:val="1"/>
    <w:next w:val="11"/>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1">
    <w:name w:val="envelope return"/>
    <w:basedOn w:val="1"/>
    <w:qFormat/>
    <w:uiPriority w:val="0"/>
    <w:rPr>
      <w:rFonts w:ascii="Arial" w:hAnsi="Arial"/>
    </w:rPr>
  </w:style>
  <w:style w:type="paragraph" w:styleId="12">
    <w:name w:val="footer"/>
    <w:basedOn w:val="1"/>
    <w:next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line="360" w:lineRule="auto"/>
    </w:pPr>
  </w:style>
  <w:style w:type="paragraph" w:styleId="15">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6">
    <w:name w:val="Title"/>
    <w:basedOn w:val="1"/>
    <w:next w:val="1"/>
    <w:qFormat/>
    <w:uiPriority w:val="0"/>
    <w:pPr>
      <w:spacing w:before="240" w:after="60"/>
      <w:jc w:val="center"/>
      <w:outlineLvl w:val="0"/>
    </w:pPr>
    <w:rPr>
      <w:rFonts w:ascii="Arial" w:hAnsi="Arial" w:eastAsia="隶书" w:cs="Times New Roman"/>
      <w:b/>
      <w:bCs/>
      <w:sz w:val="32"/>
      <w:szCs w:val="32"/>
    </w:rPr>
  </w:style>
  <w:style w:type="paragraph" w:styleId="17">
    <w:name w:val="Body Text First Indent 2"/>
    <w:basedOn w:val="10"/>
    <w:next w:val="1"/>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semiHidden/>
    <w:unhideWhenUsed/>
    <w:qFormat/>
    <w:uiPriority w:val="99"/>
    <w:rPr>
      <w:color w:val="0000FF"/>
      <w:u w:val="single"/>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font61"/>
    <w:qFormat/>
    <w:uiPriority w:val="0"/>
    <w:rPr>
      <w:rFonts w:ascii="宋体" w:hAnsi="宋体" w:eastAsia="宋体"/>
      <w:b/>
      <w:color w:val="000000"/>
      <w:sz w:val="24"/>
      <w:u w:val="none"/>
    </w:rPr>
  </w:style>
  <w:style w:type="paragraph" w:customStyle="1" w:styleId="25">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7407</Words>
  <Characters>7703</Characters>
  <Lines>0</Lines>
  <Paragraphs>0</Paragraphs>
  <TotalTime>42</TotalTime>
  <ScaleCrop>false</ScaleCrop>
  <LinksUpToDate>false</LinksUpToDate>
  <CharactersWithSpaces>7707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2025-04-02T17:37:00Z</dcterms:created>
  <dc:creator>流星雨</dc:creator>
  <cp:lastModifiedBy>禁止</cp:lastModifiedBy>
  <cp:lastPrinted>2026-05-27T09:57:00Z</cp:lastPrinted>
  <dcterms:modified xsi:type="dcterms:W3CDTF">2026-05-27T10:05:33Z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2894AE30C95D455FB4DA4D74CF60926B_13</vt:lpwstr>
  </property>
  <property fmtid="{D5CDD505-2E9C-101B-9397-08002B2CF9AE}" pid="4" name="KSOTemplateDocerSaveRecord">
    <vt:lpwstr>eyJoZGlkIjoiYjYwZGEzNDBjZjIzZDg5OGUzZjliZjFkYWJhN2FhODEiLCJ1c2VySWQiOiIyMDYzMTM5NDkifQ==</vt:lpwstr>
  </property>
</Properties>
</file>