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2"/>
        <w:spacing w:line="570" w:lineRule="exact"/>
        <w:ind w:left="0"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深圳市市级退役军人创新创业基地运营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管理办法（征求意见稿）</w:t>
      </w:r>
      <w:r>
        <w:rPr>
          <w:rFonts w:ascii="方正小标宋简体" w:hAnsi="方正小标宋简体" w:eastAsia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听证简要导引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Heiti SC Medium" w:hAnsi="Heiti SC Medium" w:eastAsia="Heiti SC Medium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制定</w:t>
      </w:r>
      <w:r>
        <w:rPr>
          <w:rFonts w:hint="eastAsia" w:ascii="黑体" w:hAnsi="黑体" w:eastAsia="黑体" w:cs="黑体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中央、国务院高度重视退役军人就业创业工作，《中华人民共和国退役军人保障法》明确规定地方政府应当搭建退役军人就业创业平台，提供创业孵化、项目扶持等配套服务；《退役军人就业创业促进条例》进一步细化创业孵化载体建设、运营扶持、服务保障相关要求，为我市退役军人创新创业基地规范化管理提供法定依据。我市已建成一批市级退役军人创新创业孵化载体，由政府投资建设、委托第三方专业机构运营，现有运营、入驻、扶持、考核等工作缺乏统一制度约束，存在入驻标准不清晰、孵化服务无统一规范、优惠政策落地流程不明确、运营绩效考评机制不完善等问题。为统筹全市市级退役军人创新创业基地顶层规划，统一运营管理标准，精准对接退役军人创业企业发展需求，强化基地专业化、市场化、特色化运营，健全从入驻孵化、政策扶持到考核退出、运营监管的全流程闭环管理体系，切实提升退役军人创业扶持质效，亟需出台专门运营管理规范性文件，为全市军创基地长效运营提供制度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《办法》共八章二十一条，覆盖总则、入驻对象与条件、入驻流程、运营服务、优惠政策、企业考核与退出、运营机构管理考核、附则全链条管理内容：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第一章总则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立法依据、适用范围、建设管理基本原则；界定市级退役军人创新创业基地定义，包含实体孵化空间与虚拟孵化服务网络；划分市退役军人事务局统筹管理职责、市区退役军人事务部门日常监管职责、第三方专业运营机构具体运营职责，确立多方协同管理架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第二章入驻条件与对象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划定基地核心入驻主体范围，重点扶持退役军人控股、创办的科技型企业；明确企业入驻硬性准入标准，包含产业匹配、工商税务迁移、知识产权、信用合规等要求；设置军创获奖项目、优质推荐项目、硬核科技项目三类优先入驻情形，简化优质项目评审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第三章入驻流程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常态化季度评审机制，明确申请提交、材料初审、专家评审、签约入驻四步标准化流程；明确申报材料清单，组建由产业专家、科研学者、退役军人事务部门代表构成评审委员会，围绕军创属性、技术实力、市场潜力开展综合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第四章运营服务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运营方搭建一站式管家式综合服务体系，覆盖空间管理、创业辅导、技术研发、投融资对接、赛事申报、党建服务等内容；设置线上虚拟孵化园区机制，为无实体办公需求的优质军创项目提供远程孵化服务，并将虚拟孵化成效纳入运营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第五章优惠政策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孵化周期、场地租金梯度优惠规则，明确基础孵化期限、延期申请条件、分阶段租金补贴标准；梳理税收减免、社保补贴、研发资助、人才安居等配套扶持政策，明确运营方政策辅导落地职责；建立军创赛事、市级重点攻关项目推荐渠道，拓宽企业资源获取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第六章考核与退出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建立在孵企业年度考核制度，列明经营、知识产权、退役军人团队、成长性等考核维度；区分整改、毕业退出、主动退园、违规清退四类退出情形，规范各情形办理流程与约束要求。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第七章运营机构管理与考核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市区联合运营评价小组，实行运营方年度百分制综合考核；明确考核三大核心板块、细分考核指标；划分优秀、良好、合格、不合格四档考核等次，建立考核结果与运营经费拨付、委托续约资格挂钩的奖惩机制，明确不合格运营方解除协议规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第八章附则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授权运营方制定落地实施细则并备案；明确办法解释主体为深圳市退役军人事务局；设定试行期限，同步建立动态修订机制，根据产业政策、军创发展实际适时优化完善制度条款。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iti SC Medium">
    <w:altName w:val="方正书宋_GBK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0B4F"/>
    <w:rsid w:val="2A240B4F"/>
    <w:rsid w:val="7F97821F"/>
    <w:rsid w:val="EC7D9C6F"/>
    <w:rsid w:val="FCF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2025-07-24T06:53:00Z</dcterms:created>
  <dc:creator>〰</dc:creator>
  <cp:lastModifiedBy>秦帅</cp:lastModifiedBy>
  <dcterms:modified xsi:type="dcterms:W3CDTF">2026-07-15T18:14:17Z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E4747EDC0B6A7058511E566AC3F5A309</vt:lpwstr>
  </property>
  <property fmtid="{D5CDD505-2E9C-101B-9397-08002B2CF9AE}" pid="4" name="KSOTemplateDocerSaveRecord">
    <vt:lpwstr>eyJoZGlkIjoiMjg0NGMxZDljZWEyNWNjZDI2MjM0NzhmNjJhNTgzMDciLCJ1c2VySWQiOiIzMjgzMzU4NDIifQ==</vt:lpwstr>
  </property>
</Properties>
</file>